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D3CF4" w14:textId="6A1DAC62" w:rsidR="00EB6B51" w:rsidRPr="00EB6B51" w:rsidRDefault="00EB6B51" w:rsidP="00EB6B51">
      <w:pPr>
        <w:jc w:val="both"/>
        <w:rPr>
          <w:rFonts w:asciiTheme="majorHAnsi" w:hAnsiTheme="majorHAnsi" w:cstheme="minorHAnsi"/>
          <w:b/>
          <w:bCs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color w:val="0066FF"/>
          <w:sz w:val="24"/>
          <w:szCs w:val="24"/>
        </w:rPr>
        <w:t>Wnioski</w:t>
      </w:r>
    </w:p>
    <w:p w14:paraId="00082985" w14:textId="77777777" w:rsidR="00EB6B51" w:rsidRPr="00EB6B51" w:rsidRDefault="00EB6B51" w:rsidP="00EB6B51">
      <w:pPr>
        <w:jc w:val="both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</w:p>
    <w:p w14:paraId="542D94BA" w14:textId="77777777" w:rsidR="00EB6B51" w:rsidRPr="00EB6B51" w:rsidRDefault="00EB6B51" w:rsidP="00EB6B51">
      <w:pPr>
        <w:jc w:val="both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</w:p>
    <w:p w14:paraId="79F28FF7" w14:textId="1934BDAF" w:rsidR="00EB6B51" w:rsidRPr="00EB6B51" w:rsidRDefault="00EB6B51" w:rsidP="00C17E34">
      <w:pPr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 xml:space="preserve">Prawo cywilne procesowe zapewnia obu stronom odpowiednie instrumenty do prowadzenia postępowania w sposób sprawiedliwy i zgodny z konstytucyjnymi zasadami. Kluczowa pozostaje jednak świadomość zarówno praw, jak i obowiązków procesowych. Prawidłowe korzystanie </w:t>
      </w:r>
      <w:r>
        <w:rPr>
          <w:rFonts w:asciiTheme="majorHAnsi" w:hAnsiTheme="majorHAnsi" w:cstheme="minorHAnsi"/>
          <w:sz w:val="24"/>
          <w:szCs w:val="24"/>
        </w:rPr>
        <w:t xml:space="preserve">                               </w:t>
      </w:r>
      <w:r w:rsidRPr="00EB6B51">
        <w:rPr>
          <w:rFonts w:asciiTheme="majorHAnsi" w:hAnsiTheme="majorHAnsi" w:cstheme="minorHAnsi"/>
          <w:sz w:val="24"/>
          <w:szCs w:val="24"/>
        </w:rPr>
        <w:t>z uprawnień i należyte wykonywanie obowiązków ma zasadniczy wpływ na wynik sprawy i efektywność całego postępowania.</w:t>
      </w:r>
    </w:p>
    <w:p w14:paraId="6B20F406" w14:textId="77777777" w:rsidR="00EB6B51" w:rsidRDefault="00EB6B51" w:rsidP="00C17E34">
      <w:pPr>
        <w:jc w:val="both"/>
        <w:rPr>
          <w:rFonts w:ascii="Bookman Old Style" w:hAnsi="Bookman Old Style" w:cstheme="minorHAnsi"/>
          <w:b/>
          <w:bCs/>
          <w:color w:val="005E00"/>
          <w:sz w:val="24"/>
          <w:szCs w:val="24"/>
        </w:rPr>
      </w:pPr>
    </w:p>
    <w:p w14:paraId="77C377CC" w14:textId="77777777" w:rsidR="00EB6B51" w:rsidRDefault="00EB6B51" w:rsidP="00C17E34">
      <w:pPr>
        <w:jc w:val="both"/>
        <w:rPr>
          <w:rFonts w:ascii="Bookman Old Style" w:hAnsi="Bookman Old Style" w:cstheme="minorHAnsi"/>
          <w:b/>
          <w:bCs/>
          <w:color w:val="005E00"/>
          <w:sz w:val="24"/>
          <w:szCs w:val="24"/>
        </w:rPr>
      </w:pPr>
    </w:p>
    <w:p w14:paraId="4F66B18A" w14:textId="77777777" w:rsidR="00EB6B51" w:rsidRDefault="00EB6B51" w:rsidP="00C17E34">
      <w:pPr>
        <w:jc w:val="both"/>
        <w:rPr>
          <w:rFonts w:ascii="Bookman Old Style" w:hAnsi="Bookman Old Style" w:cstheme="minorHAnsi"/>
          <w:b/>
          <w:bCs/>
          <w:color w:val="005E00"/>
          <w:sz w:val="24"/>
          <w:szCs w:val="24"/>
        </w:rPr>
      </w:pPr>
    </w:p>
    <w:p w14:paraId="2B4FFCBF" w14:textId="77777777" w:rsidR="00EB6B51" w:rsidRDefault="00EB6B51" w:rsidP="00C17E34">
      <w:pPr>
        <w:jc w:val="both"/>
        <w:rPr>
          <w:rFonts w:ascii="Bookman Old Style" w:hAnsi="Bookman Old Style" w:cstheme="minorHAnsi"/>
          <w:b/>
          <w:bCs/>
          <w:color w:val="005E00"/>
          <w:sz w:val="24"/>
          <w:szCs w:val="24"/>
        </w:rPr>
      </w:pPr>
    </w:p>
    <w:p w14:paraId="31BC2D5A" w14:textId="77777777" w:rsidR="00EB6B51" w:rsidRDefault="00EB6B51" w:rsidP="00C17E34">
      <w:pPr>
        <w:jc w:val="both"/>
        <w:rPr>
          <w:rFonts w:ascii="Bookman Old Style" w:hAnsi="Bookman Old Style" w:cstheme="minorHAnsi"/>
          <w:b/>
          <w:bCs/>
          <w:color w:val="005E00"/>
          <w:sz w:val="24"/>
          <w:szCs w:val="24"/>
        </w:rPr>
      </w:pPr>
    </w:p>
    <w:p w14:paraId="6804EA28" w14:textId="6A3E6C09" w:rsidR="00C17E34" w:rsidRPr="00EB6B51" w:rsidRDefault="00C17E34" w:rsidP="00C17E34">
      <w:pPr>
        <w:jc w:val="both"/>
        <w:rPr>
          <w:rFonts w:ascii="Bookman Old Style" w:hAnsi="Bookman Old Style" w:cstheme="minorHAnsi"/>
          <w:b/>
          <w:bCs/>
          <w:color w:val="0066FF"/>
          <w:sz w:val="24"/>
          <w:szCs w:val="24"/>
        </w:rPr>
      </w:pPr>
      <w:r w:rsidRPr="00EB6B51">
        <w:rPr>
          <w:rFonts w:ascii="Bookman Old Style" w:hAnsi="Bookman Old Style" w:cstheme="minorHAnsi"/>
          <w:b/>
          <w:bCs/>
          <w:color w:val="0066FF"/>
          <w:sz w:val="24"/>
          <w:szCs w:val="24"/>
        </w:rPr>
        <w:t>Nieodpłatna pomoc prawna                                    i nieodpłatne poradnictwo obywatelskie przysługują osobie uprawnionej, która nie jest w stanie ponieść kosztów odpłatnej pomocy prawnej, w tym osobie fizycznej prowadzącej jednoosobową działalność gospodarczą niezatrudniającą innych osób w ciągu ostatniego roku.</w:t>
      </w:r>
    </w:p>
    <w:p w14:paraId="398A9EDA" w14:textId="77777777" w:rsidR="00C17E34" w:rsidRPr="00EB6B51" w:rsidRDefault="00C17E34" w:rsidP="00C17E34">
      <w:pPr>
        <w:jc w:val="both"/>
        <w:rPr>
          <w:rFonts w:ascii="Bookman Old Style" w:hAnsi="Bookman Old Style" w:cstheme="minorHAnsi"/>
          <w:b/>
          <w:color w:val="0066FF"/>
          <w:sz w:val="24"/>
          <w:szCs w:val="24"/>
        </w:rPr>
      </w:pPr>
      <w:r w:rsidRPr="00EB6B51">
        <w:rPr>
          <w:rFonts w:ascii="Bookman Old Style" w:hAnsi="Bookman Old Style" w:cstheme="minorHAnsi"/>
          <w:b/>
          <w:color w:val="0066FF"/>
          <w:sz w:val="24"/>
          <w:szCs w:val="24"/>
        </w:rPr>
        <w:t>Udzielanie porad odbywa się według kolejności zgłoszeń po umówieniu terminu wizyty.</w:t>
      </w:r>
    </w:p>
    <w:p w14:paraId="15FCEC63" w14:textId="77777777" w:rsidR="00C17E34" w:rsidRPr="00EB6B51" w:rsidRDefault="00C17E34" w:rsidP="00C17E34">
      <w:pPr>
        <w:jc w:val="both"/>
        <w:rPr>
          <w:rFonts w:ascii="Bookman Old Style" w:hAnsi="Bookman Old Style" w:cstheme="minorHAnsi"/>
          <w:b/>
          <w:color w:val="0066FF"/>
          <w:sz w:val="24"/>
          <w:szCs w:val="24"/>
        </w:rPr>
      </w:pPr>
      <w:r w:rsidRPr="00EB6B51">
        <w:rPr>
          <w:rFonts w:ascii="Bookman Old Style" w:hAnsi="Bookman Old Style" w:cstheme="minorHAnsi"/>
          <w:b/>
          <w:color w:val="0066FF"/>
          <w:sz w:val="24"/>
          <w:szCs w:val="24"/>
        </w:rPr>
        <w:t>Kobiecie która jest w ciąży porady udziela się poza kolejnością.</w:t>
      </w:r>
    </w:p>
    <w:p w14:paraId="2305479E" w14:textId="77777777" w:rsidR="00C17E34" w:rsidRPr="00EB6B51" w:rsidRDefault="00C17E34" w:rsidP="00C17E34">
      <w:pPr>
        <w:jc w:val="both"/>
        <w:rPr>
          <w:rFonts w:ascii="Bookman Old Style" w:hAnsi="Bookman Old Style" w:cstheme="minorHAnsi"/>
          <w:b/>
          <w:color w:val="0066FF"/>
          <w:sz w:val="24"/>
          <w:szCs w:val="24"/>
        </w:rPr>
      </w:pPr>
    </w:p>
    <w:p w14:paraId="7E3F0FAB" w14:textId="77777777" w:rsidR="00481EB2" w:rsidRPr="00EB6B51" w:rsidRDefault="00481EB2" w:rsidP="001609E6">
      <w:pPr>
        <w:jc w:val="center"/>
        <w:rPr>
          <w:rFonts w:asciiTheme="majorHAnsi" w:hAnsiTheme="majorHAnsi" w:cstheme="minorHAnsi"/>
          <w:color w:val="0066FF"/>
          <w:sz w:val="24"/>
          <w:szCs w:val="24"/>
        </w:rPr>
      </w:pPr>
    </w:p>
    <w:p w14:paraId="273346D6" w14:textId="77777777" w:rsidR="00A01B87" w:rsidRPr="00EB6B51" w:rsidRDefault="00A01B87" w:rsidP="001609E6">
      <w:pPr>
        <w:jc w:val="center"/>
        <w:rPr>
          <w:rFonts w:asciiTheme="majorHAnsi" w:hAnsiTheme="majorHAnsi" w:cstheme="minorHAnsi"/>
          <w:color w:val="0066FF"/>
          <w:sz w:val="24"/>
          <w:szCs w:val="24"/>
        </w:rPr>
      </w:pPr>
    </w:p>
    <w:p w14:paraId="000A4908" w14:textId="77777777" w:rsidR="00A01B87" w:rsidRDefault="00A01B87" w:rsidP="001609E6">
      <w:pPr>
        <w:jc w:val="center"/>
        <w:rPr>
          <w:rFonts w:asciiTheme="majorHAnsi" w:hAnsiTheme="majorHAnsi" w:cstheme="minorHAnsi"/>
          <w:sz w:val="24"/>
          <w:szCs w:val="24"/>
        </w:rPr>
      </w:pPr>
    </w:p>
    <w:p w14:paraId="1524ED36" w14:textId="77777777" w:rsidR="00A01B87" w:rsidRDefault="00A01B87" w:rsidP="001609E6">
      <w:pPr>
        <w:jc w:val="center"/>
        <w:rPr>
          <w:rFonts w:asciiTheme="majorHAnsi" w:hAnsiTheme="majorHAnsi" w:cstheme="minorHAnsi"/>
          <w:sz w:val="24"/>
          <w:szCs w:val="24"/>
        </w:rPr>
      </w:pPr>
    </w:p>
    <w:p w14:paraId="3835B8B3" w14:textId="77777777" w:rsidR="00A01B87" w:rsidRDefault="00A01B87" w:rsidP="001609E6">
      <w:pPr>
        <w:jc w:val="center"/>
        <w:rPr>
          <w:rFonts w:asciiTheme="majorHAnsi" w:hAnsiTheme="majorHAnsi" w:cstheme="minorHAnsi"/>
          <w:sz w:val="24"/>
          <w:szCs w:val="24"/>
        </w:rPr>
      </w:pPr>
    </w:p>
    <w:p w14:paraId="1A3F7BAD" w14:textId="77777777" w:rsidR="00A01B87" w:rsidRDefault="00A01B87" w:rsidP="001609E6">
      <w:pPr>
        <w:jc w:val="center"/>
        <w:rPr>
          <w:rFonts w:asciiTheme="majorHAnsi" w:hAnsiTheme="majorHAnsi" w:cstheme="minorHAnsi"/>
          <w:sz w:val="24"/>
          <w:szCs w:val="24"/>
        </w:rPr>
      </w:pPr>
    </w:p>
    <w:p w14:paraId="69E7C107" w14:textId="77777777" w:rsidR="00A01B87" w:rsidRDefault="00A01B87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3157A991" w14:textId="77777777" w:rsid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23A000C8" w14:textId="6BF1ABC6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Punkty nieodpłatnej pomocy prawnej oraz nieodpłatnego poradnictwa obywatelskiego prowadzone przez Lokalną Grupę Działania Powiatu Opatowskiego:</w:t>
      </w:r>
    </w:p>
    <w:p w14:paraId="4C4ACAED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</w:p>
    <w:p w14:paraId="6C57D0DE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</w:p>
    <w:p w14:paraId="7FF4CEA1" w14:textId="77777777" w:rsidR="006F287C" w:rsidRPr="006F287C" w:rsidRDefault="006F287C" w:rsidP="006F287C">
      <w:pPr>
        <w:numPr>
          <w:ilvl w:val="0"/>
          <w:numId w:val="14"/>
        </w:numPr>
        <w:jc w:val="center"/>
        <w:rPr>
          <w:rFonts w:asciiTheme="majorHAnsi" w:hAnsiTheme="majorHAnsi" w:cstheme="minorHAnsi"/>
          <w:b/>
          <w:bCs/>
          <w:noProof/>
          <w:sz w:val="24"/>
          <w:szCs w:val="24"/>
          <w:u w:val="single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  <w:u w:val="single"/>
        </w:rPr>
        <w:t>na terenie powiatu opatowskiego:</w:t>
      </w:r>
    </w:p>
    <w:p w14:paraId="6DA7EB99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  <w:u w:val="single"/>
        </w:rPr>
      </w:pPr>
    </w:p>
    <w:p w14:paraId="5E064930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  <w:u w:val="single"/>
        </w:rPr>
      </w:pPr>
    </w:p>
    <w:p w14:paraId="323292FA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Punkt Nieodpłatnej Pomocy Prawnej</w:t>
      </w:r>
    </w:p>
    <w:p w14:paraId="593D40CF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bookmarkStart w:id="0" w:name="_Hlk63159961"/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Opatów, ul. Sienkiewicza 17</w:t>
      </w:r>
    </w:p>
    <w:p w14:paraId="1DEC23B0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 xml:space="preserve">(budynek Starostwa Powiatowego </w:t>
      </w: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br/>
        <w:t>w Opatowie) czynny :</w:t>
      </w:r>
    </w:p>
    <w:p w14:paraId="0721CC4A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36A6F2F3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poniedziałek od 7:30 do 11:30</w:t>
      </w:r>
    </w:p>
    <w:p w14:paraId="3DC3135E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wtorek od od 7:30 do 11:30</w:t>
      </w:r>
    </w:p>
    <w:p w14:paraId="7FCAD4BC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 xml:space="preserve">czwartek </w:t>
      </w:r>
      <w:bookmarkEnd w:id="0"/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od 7:30 do 11:30</w:t>
      </w:r>
    </w:p>
    <w:p w14:paraId="23503D77" w14:textId="0B466960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piątek od 1</w:t>
      </w:r>
      <w:r w:rsidR="00EB3D9F">
        <w:rPr>
          <w:rFonts w:asciiTheme="majorHAnsi" w:hAnsiTheme="majorHAnsi" w:cstheme="minorHAnsi"/>
          <w:b/>
          <w:bCs/>
          <w:noProof/>
          <w:sz w:val="24"/>
          <w:szCs w:val="24"/>
        </w:rPr>
        <w:t>1</w:t>
      </w: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:30 do 1</w:t>
      </w:r>
      <w:r w:rsidR="00EB3D9F">
        <w:rPr>
          <w:rFonts w:asciiTheme="majorHAnsi" w:hAnsiTheme="majorHAnsi" w:cstheme="minorHAnsi"/>
          <w:b/>
          <w:bCs/>
          <w:noProof/>
          <w:sz w:val="24"/>
          <w:szCs w:val="24"/>
        </w:rPr>
        <w:t>5</w:t>
      </w: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 xml:space="preserve">:30 </w:t>
      </w:r>
    </w:p>
    <w:p w14:paraId="5852B9CC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78AEB075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60B4612D" w14:textId="77777777" w:rsidR="006F287C" w:rsidRPr="006F287C" w:rsidRDefault="006F287C" w:rsidP="006F287C">
      <w:pPr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0300F21D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Punkt Nieodpłatnego Poradnictwa Obywatelskiego</w:t>
      </w:r>
    </w:p>
    <w:p w14:paraId="5654F230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Opatów, ul. Sienkiewicza 17</w:t>
      </w:r>
    </w:p>
    <w:p w14:paraId="13DC095D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 xml:space="preserve">(budynek Starostwa Powiatowego </w:t>
      </w: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br/>
        <w:t>w Opatowie) czynny:</w:t>
      </w:r>
    </w:p>
    <w:p w14:paraId="7B5FEACE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29BFDF9E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sz w:val="24"/>
          <w:szCs w:val="24"/>
        </w:rPr>
        <w:t>środa od 7:30 do 12:00</w:t>
      </w:r>
    </w:p>
    <w:p w14:paraId="40F270C3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2FDCC3CE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43507CF1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sz w:val="24"/>
          <w:szCs w:val="24"/>
        </w:rPr>
      </w:pPr>
    </w:p>
    <w:p w14:paraId="01D611DB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  <w:t>Obowiązuje rejestracja na wizyty</w:t>
      </w:r>
    </w:p>
    <w:p w14:paraId="0C77AC0B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  <w:t>pod numerem telefonu:</w:t>
      </w:r>
    </w:p>
    <w:p w14:paraId="660FDF4A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</w:p>
    <w:p w14:paraId="09F5FAAF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  <w:r w:rsidRPr="006F287C"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  <w:t>797-994-712</w:t>
      </w:r>
    </w:p>
    <w:p w14:paraId="3C9EC9D7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</w:p>
    <w:p w14:paraId="32B214C6" w14:textId="77777777" w:rsidR="006F287C" w:rsidRPr="006F287C" w:rsidRDefault="006F287C" w:rsidP="006F287C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</w:p>
    <w:p w14:paraId="72A25206" w14:textId="57A59295" w:rsidR="007F57EF" w:rsidRPr="006F287C" w:rsidRDefault="007F57EF" w:rsidP="007F57EF">
      <w:pPr>
        <w:jc w:val="center"/>
        <w:rPr>
          <w:rFonts w:asciiTheme="majorHAnsi" w:hAnsiTheme="majorHAnsi" w:cstheme="minorHAnsi"/>
          <w:b/>
          <w:bCs/>
          <w:noProof/>
          <w:color w:val="C00000"/>
          <w:sz w:val="24"/>
          <w:szCs w:val="24"/>
        </w:rPr>
      </w:pPr>
    </w:p>
    <w:p w14:paraId="384D5AB4" w14:textId="77777777" w:rsidR="00A01B87" w:rsidRPr="007F57EF" w:rsidRDefault="00A01B87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475F043E" w14:textId="77777777" w:rsidR="006F287C" w:rsidRDefault="006F287C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</w:p>
    <w:p w14:paraId="02362AB7" w14:textId="02671360" w:rsidR="004179DE" w:rsidRPr="00A01B87" w:rsidRDefault="004179DE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  <w:r w:rsidRPr="00A01B87"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  <w:t>Informator</w:t>
      </w:r>
    </w:p>
    <w:p w14:paraId="1F9364B1" w14:textId="0FE7D716" w:rsidR="00242E4C" w:rsidRPr="00A01B87" w:rsidRDefault="00242E4C" w:rsidP="004179DE">
      <w:pPr>
        <w:jc w:val="center"/>
        <w:rPr>
          <w:rFonts w:ascii="Bookman Old Style" w:hAnsi="Bookman Old Style" w:cstheme="minorHAnsi"/>
          <w:b/>
          <w:bCs/>
          <w:color w:val="0F243E" w:themeColor="text2" w:themeShade="80"/>
          <w:sz w:val="28"/>
          <w:szCs w:val="28"/>
        </w:rPr>
      </w:pPr>
      <w:r w:rsidRPr="00A01B87"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  <w:t xml:space="preserve">prawny </w:t>
      </w:r>
    </w:p>
    <w:p w14:paraId="5C9DA8DF" w14:textId="77777777" w:rsidR="00EB6B51" w:rsidRDefault="00EB6B51" w:rsidP="00743E52">
      <w:pPr>
        <w:jc w:val="center"/>
        <w:rPr>
          <w:rFonts w:ascii="Bookman Old Style" w:hAnsi="Bookman Old Style" w:cstheme="minorHAnsi"/>
          <w:b/>
          <w:bCs/>
          <w:color w:val="005E00"/>
          <w:sz w:val="36"/>
          <w:szCs w:val="36"/>
        </w:rPr>
      </w:pPr>
    </w:p>
    <w:p w14:paraId="4B89EF45" w14:textId="7F31BA67" w:rsidR="00EB6B51" w:rsidRPr="00EB6B51" w:rsidRDefault="00EB6B51" w:rsidP="00EB6B51">
      <w:pPr>
        <w:jc w:val="center"/>
        <w:rPr>
          <w:rFonts w:ascii="Bookman Old Style" w:hAnsi="Bookman Old Style" w:cstheme="minorHAnsi"/>
          <w:b/>
          <w:bCs/>
          <w:noProof/>
          <w:color w:val="0066FF"/>
          <w:sz w:val="32"/>
          <w:szCs w:val="32"/>
          <w:lang w:eastAsia="pl-PL"/>
        </w:rPr>
      </w:pPr>
      <w:r w:rsidRPr="00EB6B51">
        <w:rPr>
          <w:rFonts w:ascii="Bookman Old Style" w:hAnsi="Bookman Old Style" w:cstheme="minorHAnsi"/>
          <w:b/>
          <w:bCs/>
          <w:noProof/>
          <w:color w:val="0066FF"/>
          <w:sz w:val="32"/>
          <w:szCs w:val="32"/>
          <w:lang w:eastAsia="pl-PL"/>
        </w:rPr>
        <w:t>Prawa i</w:t>
      </w:r>
      <w:r>
        <w:rPr>
          <w:rFonts w:ascii="Bookman Old Style" w:hAnsi="Bookman Old Style" w:cstheme="minorHAnsi"/>
          <w:b/>
          <w:bCs/>
          <w:noProof/>
          <w:color w:val="0066FF"/>
          <w:sz w:val="32"/>
          <w:szCs w:val="32"/>
          <w:lang w:eastAsia="pl-PL"/>
        </w:rPr>
        <w:t xml:space="preserve"> </w:t>
      </w:r>
      <w:r w:rsidRPr="00EB6B51">
        <w:rPr>
          <w:rFonts w:ascii="Bookman Old Style" w:hAnsi="Bookman Old Style" w:cstheme="minorHAnsi"/>
          <w:b/>
          <w:bCs/>
          <w:noProof/>
          <w:color w:val="0066FF"/>
          <w:sz w:val="32"/>
          <w:szCs w:val="32"/>
          <w:lang w:eastAsia="pl-PL"/>
        </w:rPr>
        <w:t xml:space="preserve">obowiązki powoda                    i pozwanego </w:t>
      </w:r>
    </w:p>
    <w:p w14:paraId="159CD70A" w14:textId="2E74A27A" w:rsidR="00A01B87" w:rsidRPr="00EB6B51" w:rsidRDefault="00EB6B51" w:rsidP="00743E52">
      <w:pPr>
        <w:jc w:val="center"/>
        <w:rPr>
          <w:rFonts w:ascii="Bookman Old Style" w:hAnsi="Bookman Old Style" w:cstheme="minorHAnsi"/>
          <w:b/>
          <w:bCs/>
          <w:noProof/>
          <w:color w:val="0066FF"/>
          <w:sz w:val="32"/>
          <w:szCs w:val="32"/>
          <w:lang w:eastAsia="pl-PL"/>
        </w:rPr>
      </w:pPr>
      <w:r w:rsidRPr="00EB6B51">
        <w:rPr>
          <w:rFonts w:ascii="Bookman Old Style" w:hAnsi="Bookman Old Style" w:cstheme="minorHAnsi"/>
          <w:b/>
          <w:bCs/>
          <w:noProof/>
          <w:color w:val="0066FF"/>
          <w:sz w:val="32"/>
          <w:szCs w:val="32"/>
          <w:lang w:eastAsia="pl-PL"/>
        </w:rPr>
        <w:t>w procesie cywilnym</w:t>
      </w:r>
    </w:p>
    <w:p w14:paraId="36F3369D" w14:textId="77777777" w:rsidR="00A01B87" w:rsidRPr="00EB6B51" w:rsidRDefault="00A01B87" w:rsidP="00743E52">
      <w:pPr>
        <w:jc w:val="center"/>
        <w:rPr>
          <w:rFonts w:ascii="Bookman Old Style" w:hAnsi="Bookman Old Style" w:cstheme="minorHAnsi"/>
          <w:b/>
          <w:bCs/>
          <w:noProof/>
          <w:lang w:eastAsia="pl-PL"/>
        </w:rPr>
      </w:pPr>
    </w:p>
    <w:p w14:paraId="005FF3B6" w14:textId="77777777" w:rsidR="00EB6B51" w:rsidRDefault="00EB6B51" w:rsidP="00743E52">
      <w:pPr>
        <w:jc w:val="center"/>
        <w:rPr>
          <w:rFonts w:ascii="Bookman Old Style" w:hAnsi="Bookman Old Style" w:cstheme="minorHAnsi"/>
        </w:rPr>
      </w:pPr>
    </w:p>
    <w:p w14:paraId="074F89D3" w14:textId="175DB11A" w:rsidR="00D734DD" w:rsidRDefault="003C0E27" w:rsidP="00743E52">
      <w:pPr>
        <w:jc w:val="center"/>
        <w:rPr>
          <w:rFonts w:ascii="Bookman Old Style" w:hAnsi="Bookman Old Style" w:cstheme="minorHAnsi"/>
        </w:rPr>
      </w:pPr>
      <w:r w:rsidRPr="001908B0">
        <w:rPr>
          <w:rFonts w:ascii="Bookman Old Style" w:hAnsi="Bookman Old Style" w:cstheme="minorHAnsi"/>
          <w:noProof/>
          <w:lang w:eastAsia="pl-PL"/>
        </w:rPr>
        <w:drawing>
          <wp:inline distT="0" distB="0" distL="0" distR="0" wp14:anchorId="54136D44" wp14:editId="1407A948">
            <wp:extent cx="2000250" cy="2604406"/>
            <wp:effectExtent l="19050" t="0" r="19050" b="767715"/>
            <wp:docPr id="3" name="Obraz 7" descr="C:\Users\Krzysiek\AppData\Local\Microsoft\Windows\INetCache\IE\VI992GD6\paragraph-symbol-rul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rzysiek\AppData\Local\Microsoft\Windows\INetCache\IE\VI992GD6\paragraph-symbol-rule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495" cy="262555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57767737" w14:textId="77777777" w:rsidR="00A01B87" w:rsidRDefault="00A01B87" w:rsidP="00743E52">
      <w:pPr>
        <w:jc w:val="center"/>
        <w:rPr>
          <w:rFonts w:ascii="Bookman Old Style" w:hAnsi="Bookman Old Style" w:cstheme="minorHAnsi"/>
        </w:rPr>
      </w:pPr>
    </w:p>
    <w:p w14:paraId="530C648A" w14:textId="77777777" w:rsidR="00E6258D" w:rsidRDefault="00E6258D" w:rsidP="00C17E34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A20000"/>
          <w:sz w:val="24"/>
          <w:szCs w:val="24"/>
        </w:rPr>
      </w:pPr>
    </w:p>
    <w:p w14:paraId="75571C91" w14:textId="666D2D58" w:rsidR="00F96996" w:rsidRPr="00EB6B51" w:rsidRDefault="00C17E34" w:rsidP="00F96996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i/>
          <w:iCs/>
          <w:color w:val="0066FF"/>
          <w:sz w:val="24"/>
          <w:szCs w:val="24"/>
        </w:rPr>
        <w:t xml:space="preserve">Informator przygotowany przez Lokalną Grupę Działania Powiatu Opatowskiego                      w ramach realizacji zadania publicznego powierzonego przez Zarząd Powiatu </w:t>
      </w:r>
      <w:r w:rsidR="008C7AA1">
        <w:rPr>
          <w:rFonts w:asciiTheme="majorHAnsi" w:hAnsiTheme="majorHAnsi" w:cstheme="minorHAnsi"/>
          <w:b/>
          <w:bCs/>
          <w:i/>
          <w:iCs/>
          <w:color w:val="0066FF"/>
          <w:sz w:val="24"/>
          <w:szCs w:val="24"/>
        </w:rPr>
        <w:t>Opatowskiego</w:t>
      </w:r>
    </w:p>
    <w:p w14:paraId="08473764" w14:textId="77777777" w:rsid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5E5F4F8C" w14:textId="31C90811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lastRenderedPageBreak/>
        <w:t xml:space="preserve">Proces cywilny opiera się na zasadzie kontradyktoryjności, która zakłada istnienie dwóch przeciwnych stron – powoda </w:t>
      </w:r>
      <w:r>
        <w:rPr>
          <w:rFonts w:asciiTheme="majorHAnsi" w:hAnsiTheme="majorHAnsi" w:cstheme="minorHAnsi"/>
          <w:sz w:val="24"/>
          <w:szCs w:val="24"/>
        </w:rPr>
        <w:t xml:space="preserve">                                          </w:t>
      </w:r>
      <w:r w:rsidRPr="00EB6B51">
        <w:rPr>
          <w:rFonts w:asciiTheme="majorHAnsi" w:hAnsiTheme="majorHAnsi" w:cstheme="minorHAnsi"/>
          <w:sz w:val="24"/>
          <w:szCs w:val="24"/>
        </w:rPr>
        <w:t>i pozwanego. Powód jest stroną inicjującą postępowanie, natomiast pozwany to osoba, wobec której kierowane jest żądanie. Mimo formalnej równości stron, ich rola i obowiązki procesowe różnią się, szczególnie na etapie wstępnym procesu</w:t>
      </w:r>
      <w:r>
        <w:rPr>
          <w:rFonts w:asciiTheme="majorHAnsi" w:hAnsiTheme="majorHAnsi" w:cstheme="minorHAnsi"/>
          <w:sz w:val="24"/>
          <w:szCs w:val="24"/>
        </w:rPr>
        <w:t>.</w:t>
      </w:r>
    </w:p>
    <w:p w14:paraId="39552852" w14:textId="26B1F4C9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color w:val="0066FF"/>
          <w:sz w:val="24"/>
          <w:szCs w:val="24"/>
        </w:rPr>
        <w:t>Prawa powoda</w:t>
      </w:r>
    </w:p>
    <w:p w14:paraId="12F89574" w14:textId="77777777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Powód jako inicjator postępowania posiada szereg uprawnień:</w:t>
      </w:r>
    </w:p>
    <w:p w14:paraId="658A3770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027DBBA7" w14:textId="77777777" w:rsidR="00EB6B51" w:rsidRPr="00EB6B51" w:rsidRDefault="00EB6B51" w:rsidP="00EB6B51">
      <w:pPr>
        <w:pStyle w:val="Akapitzlist"/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wniesienia pozwu – zgodnie z art. 187 k.p.c., powód może domagać się ochrony prawnej od sądu powszechnego.</w:t>
      </w:r>
    </w:p>
    <w:p w14:paraId="2C94A1BA" w14:textId="77777777" w:rsidR="00EB6B51" w:rsidRPr="00EB6B51" w:rsidRDefault="00EB6B51" w:rsidP="00EB6B51">
      <w:pPr>
        <w:pStyle w:val="Akapitzlist"/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wskazywania podstawy faktycznej i prawnej roszczenia.</w:t>
      </w:r>
    </w:p>
    <w:p w14:paraId="5D0D2EEB" w14:textId="77777777" w:rsidR="00EB6B51" w:rsidRPr="00EB6B51" w:rsidRDefault="00EB6B51" w:rsidP="00EB6B51">
      <w:pPr>
        <w:pStyle w:val="Akapitzlist"/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formułowania wniosków dowodowych – powód ma prawo przedstawiać dowody na poparcie swoich twierdzeń.</w:t>
      </w:r>
    </w:p>
    <w:p w14:paraId="5DCDCFC0" w14:textId="77777777" w:rsidR="00EB6B51" w:rsidRPr="00EB6B51" w:rsidRDefault="00EB6B51" w:rsidP="00EB6B51">
      <w:pPr>
        <w:pStyle w:val="Akapitzlist"/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modyfikacji powództwa – np. jego cofnięcia, ograniczenia lub rozszerzenia.</w:t>
      </w:r>
    </w:p>
    <w:p w14:paraId="3BA7E58C" w14:textId="44FA1FFD" w:rsidR="00EB6B51" w:rsidRDefault="00EB6B51" w:rsidP="00EB6B51">
      <w:pPr>
        <w:pStyle w:val="Akapitzlist"/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zaskarżania orzeczeń sądu – w tym apelacji czy skargi kasacyjnej</w:t>
      </w:r>
      <w:r>
        <w:rPr>
          <w:rFonts w:asciiTheme="majorHAnsi" w:hAnsiTheme="majorHAnsi" w:cstheme="minorHAnsi"/>
          <w:sz w:val="24"/>
          <w:szCs w:val="24"/>
        </w:rPr>
        <w:t>.</w:t>
      </w:r>
    </w:p>
    <w:p w14:paraId="76EEAFA3" w14:textId="77777777" w:rsidR="00EB6B51" w:rsidRDefault="00EB6B51" w:rsidP="00EB6B51">
      <w:pPr>
        <w:pStyle w:val="Akapitzlist"/>
        <w:numPr>
          <w:ilvl w:val="0"/>
          <w:numId w:val="27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3A463012" w14:textId="65E143CE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color w:val="0066FF"/>
          <w:sz w:val="24"/>
          <w:szCs w:val="24"/>
        </w:rPr>
        <w:t>Obowiązki powoda</w:t>
      </w:r>
    </w:p>
    <w:p w14:paraId="010FE4B0" w14:textId="77777777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Powód ma również określone obowiązki formalne:</w:t>
      </w:r>
    </w:p>
    <w:p w14:paraId="59C4F653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742AA571" w14:textId="77777777" w:rsidR="00EB6B51" w:rsidRPr="00EB6B51" w:rsidRDefault="00EB6B51" w:rsidP="00EB6B51">
      <w:pPr>
        <w:pStyle w:val="Akapitzlist"/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Obowiązek prawidłowego sformułowania pozwu – brak wymaganych elementów może skutkować zwrotem pozwu.</w:t>
      </w:r>
    </w:p>
    <w:p w14:paraId="2319DCCF" w14:textId="725EF6D3" w:rsidR="00EB6B51" w:rsidRPr="00EB6B51" w:rsidRDefault="00EB6B51" w:rsidP="00EB6B51">
      <w:pPr>
        <w:pStyle w:val="Akapitzlist"/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 xml:space="preserve">Obowiązek udowodnienia faktów, </w:t>
      </w:r>
      <w:r>
        <w:rPr>
          <w:rFonts w:asciiTheme="majorHAnsi" w:hAnsiTheme="majorHAnsi" w:cstheme="minorHAnsi"/>
          <w:sz w:val="24"/>
          <w:szCs w:val="24"/>
        </w:rPr>
        <w:t xml:space="preserve">                          </w:t>
      </w:r>
      <w:r w:rsidRPr="00EB6B51">
        <w:rPr>
          <w:rFonts w:asciiTheme="majorHAnsi" w:hAnsiTheme="majorHAnsi" w:cstheme="minorHAnsi"/>
          <w:sz w:val="24"/>
          <w:szCs w:val="24"/>
        </w:rPr>
        <w:t>z których wywodzi skutki prawne – ciężar dowodu spoczywa na powodzie (art. 6 k.c.).</w:t>
      </w:r>
    </w:p>
    <w:p w14:paraId="3238B54F" w14:textId="77777777" w:rsidR="00EB6B51" w:rsidRPr="00EB6B51" w:rsidRDefault="00EB6B51" w:rsidP="00EB6B51">
      <w:pPr>
        <w:pStyle w:val="Akapitzlist"/>
        <w:numPr>
          <w:ilvl w:val="0"/>
          <w:numId w:val="28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Obowiązek lojalności procesowej – przedstawianie twierdzeń i dowodów w odpowiednim czasie.</w:t>
      </w:r>
    </w:p>
    <w:p w14:paraId="449075CF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1B942337" w14:textId="0BED3058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sz w:val="24"/>
          <w:szCs w:val="24"/>
        </w:rPr>
        <w:t xml:space="preserve"> </w:t>
      </w:r>
      <w:r w:rsidRPr="00EB6B51">
        <w:rPr>
          <w:rFonts w:asciiTheme="majorHAnsi" w:hAnsiTheme="majorHAnsi" w:cstheme="minorHAnsi"/>
          <w:b/>
          <w:bCs/>
          <w:color w:val="0066FF"/>
          <w:sz w:val="24"/>
          <w:szCs w:val="24"/>
        </w:rPr>
        <w:t>Prawa pozwanego</w:t>
      </w:r>
    </w:p>
    <w:p w14:paraId="19244C81" w14:textId="77777777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Pozwany, choć stawia się w pozycji obronnej, również dysponuje szerokim zakresem praw:</w:t>
      </w:r>
    </w:p>
    <w:p w14:paraId="2097BC78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782605A2" w14:textId="77777777" w:rsidR="00EB6B51" w:rsidRPr="00EB6B51" w:rsidRDefault="00EB6B51" w:rsidP="00EB6B51">
      <w:pPr>
        <w:pStyle w:val="Akapitzlist"/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obrony przed żądaniem powoda – w tym prawo do odpowiedzi na pozew (art. 207 k.p.c.).</w:t>
      </w:r>
    </w:p>
    <w:p w14:paraId="65B300F9" w14:textId="77777777" w:rsidR="00EB6B51" w:rsidRPr="00EB6B51" w:rsidRDefault="00EB6B51" w:rsidP="00EB6B51">
      <w:pPr>
        <w:pStyle w:val="Akapitzlist"/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zgłaszania zarzutów procesowych i materialnoprawnych – np. zarzut przedawnienia, potrącenia, niewłaściwego oznaczenia stron.</w:t>
      </w:r>
    </w:p>
    <w:p w14:paraId="1F394AAB" w14:textId="77777777" w:rsidR="00EB6B51" w:rsidRPr="00EB6B51" w:rsidRDefault="00EB6B51" w:rsidP="00EB6B51">
      <w:pPr>
        <w:pStyle w:val="Akapitzlist"/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składania własnych wniosków dowodowych.</w:t>
      </w:r>
    </w:p>
    <w:p w14:paraId="73F23F69" w14:textId="77777777" w:rsidR="00EB6B51" w:rsidRPr="00EB6B51" w:rsidRDefault="00EB6B51" w:rsidP="00EB6B51">
      <w:pPr>
        <w:pStyle w:val="Akapitzlist"/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wniesienia powództwa wzajemnego – w określonych przypadkach (art. 204 k.p.c.).</w:t>
      </w:r>
    </w:p>
    <w:p w14:paraId="2F778F50" w14:textId="77777777" w:rsidR="00EB6B51" w:rsidRPr="00EB6B51" w:rsidRDefault="00EB6B51" w:rsidP="00EB6B51">
      <w:pPr>
        <w:pStyle w:val="Akapitzlist"/>
        <w:numPr>
          <w:ilvl w:val="0"/>
          <w:numId w:val="29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Prawo do zaskarżania orzeczeń sądu – analogicznie jak powód.</w:t>
      </w:r>
    </w:p>
    <w:p w14:paraId="18C1C6C2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5CF2BA05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66D73ED6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1A4489CB" w14:textId="34114509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color w:val="0066FF"/>
          <w:sz w:val="24"/>
          <w:szCs w:val="24"/>
        </w:rPr>
        <w:t>Obowiązki pozwanego</w:t>
      </w:r>
    </w:p>
    <w:p w14:paraId="2D56F332" w14:textId="77777777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Pozwany również podlega obowiązkom procesowym:</w:t>
      </w:r>
    </w:p>
    <w:p w14:paraId="7BBC8680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0A80C554" w14:textId="77777777" w:rsidR="00EB6B51" w:rsidRPr="00EB6B51" w:rsidRDefault="00EB6B51" w:rsidP="00EB6B51">
      <w:pPr>
        <w:pStyle w:val="Akapitzlist"/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Obowiązek odpowiedzi na pozew – w wyznaczonym terminie, pod rygorem uznania twierdzeń powoda za przyznane.</w:t>
      </w:r>
    </w:p>
    <w:p w14:paraId="091EDF7E" w14:textId="77777777" w:rsidR="00EB6B51" w:rsidRPr="00EB6B51" w:rsidRDefault="00EB6B51" w:rsidP="00EB6B51">
      <w:pPr>
        <w:pStyle w:val="Akapitzlist"/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Obowiązek uczestnictwa w rozprawach – zwłaszcza, gdy sąd nakaże osobiste stawiennictwo.</w:t>
      </w:r>
    </w:p>
    <w:p w14:paraId="00708C31" w14:textId="77777777" w:rsidR="00EB6B51" w:rsidRPr="00EB6B51" w:rsidRDefault="00EB6B51" w:rsidP="00EB6B51">
      <w:pPr>
        <w:pStyle w:val="Akapitzlist"/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Obowiązek przedstawienia dowodów na poparcie własnych twierdzeń.</w:t>
      </w:r>
    </w:p>
    <w:p w14:paraId="78BED5BD" w14:textId="77777777" w:rsidR="00EB6B51" w:rsidRPr="00EB6B51" w:rsidRDefault="00EB6B51" w:rsidP="00EB6B51">
      <w:pPr>
        <w:pStyle w:val="Akapitzlist"/>
        <w:numPr>
          <w:ilvl w:val="0"/>
          <w:numId w:val="30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Obowiązek lojalnego prowadzenia postępowania – jak każda strona.</w:t>
      </w:r>
    </w:p>
    <w:p w14:paraId="4C1ABEBA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4A0E3903" w14:textId="15FDDDBC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color w:val="0066FF"/>
          <w:sz w:val="24"/>
          <w:szCs w:val="24"/>
        </w:rPr>
      </w:pPr>
      <w:r w:rsidRPr="00EB6B51">
        <w:rPr>
          <w:rFonts w:asciiTheme="majorHAnsi" w:hAnsiTheme="majorHAnsi" w:cstheme="minorHAnsi"/>
          <w:b/>
          <w:bCs/>
          <w:color w:val="0066FF"/>
          <w:sz w:val="24"/>
          <w:szCs w:val="24"/>
        </w:rPr>
        <w:t xml:space="preserve"> Równość formalna a faktyczna</w:t>
      </w:r>
    </w:p>
    <w:p w14:paraId="181229AA" w14:textId="77777777" w:rsidR="00EB6B51" w:rsidRPr="00EB6B51" w:rsidRDefault="00EB6B51" w:rsidP="00EB6B51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Mimo że powód i pozwany posiadają formalnie równą pozycję, ich sytuacja procesowa może się różnić:</w:t>
      </w:r>
    </w:p>
    <w:p w14:paraId="0BD51C21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09A4C867" w14:textId="77777777" w:rsidR="00EB6B51" w:rsidRPr="00EB6B51" w:rsidRDefault="00EB6B51" w:rsidP="00EB6B51">
      <w:pPr>
        <w:pStyle w:val="Akapitzlist"/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Powód inicjuje postępowanie i musi udowodnić zasadność swojego roszczenia.</w:t>
      </w:r>
    </w:p>
    <w:p w14:paraId="11A8C38E" w14:textId="77777777" w:rsidR="00EB6B51" w:rsidRPr="00EB6B51" w:rsidRDefault="00EB6B51" w:rsidP="00EB6B51">
      <w:pPr>
        <w:pStyle w:val="Akapitzlist"/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Pozwany działa reaktywnie, ale ma szereg narzędzi procesowych do obrony.</w:t>
      </w:r>
    </w:p>
    <w:p w14:paraId="1262D18A" w14:textId="77777777" w:rsidR="00EB6B51" w:rsidRPr="00EB6B51" w:rsidRDefault="00EB6B51" w:rsidP="00EB6B51">
      <w:pPr>
        <w:pStyle w:val="Akapitzlist"/>
        <w:numPr>
          <w:ilvl w:val="0"/>
          <w:numId w:val="31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EB6B51">
        <w:rPr>
          <w:rFonts w:asciiTheme="majorHAnsi" w:hAnsiTheme="majorHAnsi" w:cstheme="minorHAnsi"/>
          <w:sz w:val="24"/>
          <w:szCs w:val="24"/>
        </w:rPr>
        <w:t>Sąd nie ma obowiązku wyrównywania szans – strony muszą samodzielnie zadbać o swoją pozycję procesową.</w:t>
      </w:r>
    </w:p>
    <w:p w14:paraId="740D6263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40846634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3251A4A5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012619EC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2DBD2D41" w14:textId="77777777" w:rsidR="00EB6B51" w:rsidRPr="00EB6B51" w:rsidRDefault="00EB6B51" w:rsidP="00EB6B51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553BB9D6" w14:textId="77777777" w:rsidR="00F96996" w:rsidRPr="00F96996" w:rsidRDefault="00F96996" w:rsidP="00F96996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lastRenderedPageBreak/>
        <w:br/>
      </w:r>
    </w:p>
    <w:p w14:paraId="7059AF93" w14:textId="77777777" w:rsidR="00F96996" w:rsidRPr="00F96996" w:rsidRDefault="00F96996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sectPr w:rsidR="00F96996" w:rsidRPr="00F96996" w:rsidSect="0094023A">
      <w:footerReference w:type="default" r:id="rId9"/>
      <w:pgSz w:w="16838" w:h="11906" w:orient="landscape" w:code="9"/>
      <w:pgMar w:top="284" w:right="284" w:bottom="284" w:left="284" w:header="397" w:footer="709" w:gutter="0"/>
      <w:cols w:num="3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DE89" w14:textId="77777777" w:rsidR="003926BE" w:rsidRDefault="003926BE" w:rsidP="00FE6CF3">
      <w:r>
        <w:separator/>
      </w:r>
    </w:p>
  </w:endnote>
  <w:endnote w:type="continuationSeparator" w:id="0">
    <w:p w14:paraId="17318E9F" w14:textId="77777777" w:rsidR="003926BE" w:rsidRDefault="003926BE" w:rsidP="00FE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8516" w14:textId="77777777" w:rsidR="00661FF3" w:rsidRPr="009C58D9" w:rsidRDefault="00661FF3" w:rsidP="00661FF3">
    <w:pPr>
      <w:pStyle w:val="Stopka"/>
      <w:jc w:val="center"/>
      <w:rPr>
        <w:rFonts w:asciiTheme="majorHAnsi" w:hAnsiTheme="majorHAnsi"/>
        <w:b/>
        <w:bCs/>
        <w:color w:val="365F91" w:themeColor="accent1" w:themeShade="BF"/>
        <w:sz w:val="20"/>
        <w:szCs w:val="20"/>
      </w:rPr>
    </w:pPr>
    <w:r w:rsidRPr="00661FF3">
      <w:rPr>
        <w:rFonts w:asciiTheme="majorHAnsi" w:hAnsiTheme="majorHAnsi"/>
        <w:b/>
        <w:bCs/>
        <w:color w:val="365F91" w:themeColor="accent1" w:themeShade="BF"/>
        <w:sz w:val="20"/>
        <w:szCs w:val="20"/>
      </w:rPr>
      <w:t>www. DarmowaPomocPrawna.ms.gov.pl</w:t>
    </w:r>
    <w:r w:rsidRPr="009C58D9">
      <w:rPr>
        <w:rFonts w:asciiTheme="majorHAnsi" w:hAnsiTheme="majorHAnsi"/>
        <w:b/>
        <w:bCs/>
        <w:color w:val="365F91" w:themeColor="accent1" w:themeShade="BF"/>
        <w:sz w:val="20"/>
        <w:szCs w:val="20"/>
      </w:rPr>
      <w:t xml:space="preserve">                                               www. DarmowaPomocPrawna.ms.gov.pl                                          www. DarmowaPomocPrawna.ms.gov.pl</w:t>
    </w:r>
  </w:p>
  <w:p w14:paraId="2B0A6025" w14:textId="6E557268" w:rsidR="00661FF3" w:rsidRPr="00661FF3" w:rsidRDefault="00661FF3" w:rsidP="00661FF3">
    <w:pPr>
      <w:pStyle w:val="Stopka"/>
      <w:jc w:val="center"/>
      <w:rPr>
        <w:rFonts w:asciiTheme="majorHAnsi" w:hAnsiTheme="majorHAnsi"/>
        <w:b/>
        <w:bCs/>
        <w:sz w:val="20"/>
        <w:szCs w:val="20"/>
      </w:rPr>
    </w:pPr>
  </w:p>
  <w:p w14:paraId="3D38F114" w14:textId="48173A91" w:rsidR="00661FF3" w:rsidRPr="00661FF3" w:rsidRDefault="00661FF3" w:rsidP="00661FF3">
    <w:pPr>
      <w:pStyle w:val="Stopka"/>
      <w:rPr>
        <w:rFonts w:asciiTheme="majorHAnsi" w:hAnsiTheme="majorHAnsi"/>
        <w:b/>
        <w:bCs/>
        <w:sz w:val="20"/>
        <w:szCs w:val="20"/>
      </w:rPr>
    </w:pPr>
  </w:p>
  <w:p w14:paraId="0EA75E72" w14:textId="77777777" w:rsidR="00661FF3" w:rsidRDefault="00661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07F1" w14:textId="77777777" w:rsidR="003926BE" w:rsidRDefault="003926BE" w:rsidP="00FE6CF3">
      <w:r>
        <w:separator/>
      </w:r>
    </w:p>
  </w:footnote>
  <w:footnote w:type="continuationSeparator" w:id="0">
    <w:p w14:paraId="1B9B8280" w14:textId="77777777" w:rsidR="003926BE" w:rsidRDefault="003926BE" w:rsidP="00FE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B43356"/>
    <w:multiLevelType w:val="hybridMultilevel"/>
    <w:tmpl w:val="62D87AD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2BD3B43"/>
    <w:multiLevelType w:val="hybridMultilevel"/>
    <w:tmpl w:val="5A085B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199"/>
    <w:multiLevelType w:val="hybridMultilevel"/>
    <w:tmpl w:val="83D283E0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52E4007"/>
    <w:multiLevelType w:val="multilevel"/>
    <w:tmpl w:val="3296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B2B85"/>
    <w:multiLevelType w:val="multilevel"/>
    <w:tmpl w:val="88C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64B11"/>
    <w:multiLevelType w:val="hybridMultilevel"/>
    <w:tmpl w:val="05D8676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B5D06C9"/>
    <w:multiLevelType w:val="multilevel"/>
    <w:tmpl w:val="0B12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403C6"/>
    <w:multiLevelType w:val="hybridMultilevel"/>
    <w:tmpl w:val="734EE6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F5F57"/>
    <w:multiLevelType w:val="hybridMultilevel"/>
    <w:tmpl w:val="C72096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01B26"/>
    <w:multiLevelType w:val="hybridMultilevel"/>
    <w:tmpl w:val="688A0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C2DC5"/>
    <w:multiLevelType w:val="hybridMultilevel"/>
    <w:tmpl w:val="1D407882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C3B7F"/>
    <w:multiLevelType w:val="multilevel"/>
    <w:tmpl w:val="812A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FF1B6A"/>
    <w:multiLevelType w:val="hybridMultilevel"/>
    <w:tmpl w:val="6874C55E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F6BD8"/>
    <w:multiLevelType w:val="multilevel"/>
    <w:tmpl w:val="F346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C258BD"/>
    <w:multiLevelType w:val="multilevel"/>
    <w:tmpl w:val="17BA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F34480"/>
    <w:multiLevelType w:val="multilevel"/>
    <w:tmpl w:val="2E748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C00739"/>
    <w:multiLevelType w:val="multilevel"/>
    <w:tmpl w:val="AF889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DE2747"/>
    <w:multiLevelType w:val="hybridMultilevel"/>
    <w:tmpl w:val="2A8818D6"/>
    <w:lvl w:ilvl="0" w:tplc="0415000D">
      <w:start w:val="1"/>
      <w:numFmt w:val="bullet"/>
      <w:lvlText w:val=""/>
      <w:lvlJc w:val="left"/>
      <w:pPr>
        <w:ind w:left="56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99" w:hanging="360"/>
      </w:pPr>
      <w:rPr>
        <w:rFonts w:ascii="Wingdings" w:hAnsi="Wingdings" w:hint="default"/>
      </w:rPr>
    </w:lvl>
  </w:abstractNum>
  <w:abstractNum w:abstractNumId="18" w15:restartNumberingAfterBreak="0">
    <w:nsid w:val="436122B4"/>
    <w:multiLevelType w:val="multilevel"/>
    <w:tmpl w:val="8820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755001"/>
    <w:multiLevelType w:val="hybridMultilevel"/>
    <w:tmpl w:val="785E487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F33E5"/>
    <w:multiLevelType w:val="hybridMultilevel"/>
    <w:tmpl w:val="0D54CFBA"/>
    <w:lvl w:ilvl="0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1" w15:restartNumberingAfterBreak="0">
    <w:nsid w:val="55241D07"/>
    <w:multiLevelType w:val="hybridMultilevel"/>
    <w:tmpl w:val="821E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6A2"/>
    <w:multiLevelType w:val="hybridMultilevel"/>
    <w:tmpl w:val="656A11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11D05"/>
    <w:multiLevelType w:val="hybridMultilevel"/>
    <w:tmpl w:val="1D2697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075C7"/>
    <w:multiLevelType w:val="hybridMultilevel"/>
    <w:tmpl w:val="36DCEA3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4D25BD"/>
    <w:multiLevelType w:val="multilevel"/>
    <w:tmpl w:val="E72E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A10145"/>
    <w:multiLevelType w:val="multilevel"/>
    <w:tmpl w:val="B692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872ED4"/>
    <w:multiLevelType w:val="hybridMultilevel"/>
    <w:tmpl w:val="5CEE965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DE3FE4"/>
    <w:multiLevelType w:val="hybridMultilevel"/>
    <w:tmpl w:val="B83AFEC6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9" w15:restartNumberingAfterBreak="0">
    <w:nsid w:val="721F5B93"/>
    <w:multiLevelType w:val="hybridMultilevel"/>
    <w:tmpl w:val="C31EEF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23FF5"/>
    <w:multiLevelType w:val="hybridMultilevel"/>
    <w:tmpl w:val="172429E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7734">
    <w:abstractNumId w:val="18"/>
  </w:num>
  <w:num w:numId="2" w16cid:durableId="442577784">
    <w:abstractNumId w:val="3"/>
  </w:num>
  <w:num w:numId="3" w16cid:durableId="572082715">
    <w:abstractNumId w:val="6"/>
  </w:num>
  <w:num w:numId="4" w16cid:durableId="375357235">
    <w:abstractNumId w:val="9"/>
  </w:num>
  <w:num w:numId="5" w16cid:durableId="2094207237">
    <w:abstractNumId w:val="29"/>
  </w:num>
  <w:num w:numId="6" w16cid:durableId="196503171">
    <w:abstractNumId w:val="12"/>
  </w:num>
  <w:num w:numId="7" w16cid:durableId="1004940333">
    <w:abstractNumId w:val="2"/>
  </w:num>
  <w:num w:numId="8" w16cid:durableId="776559533">
    <w:abstractNumId w:val="10"/>
  </w:num>
  <w:num w:numId="9" w16cid:durableId="140077614">
    <w:abstractNumId w:val="20"/>
  </w:num>
  <w:num w:numId="10" w16cid:durableId="826628152">
    <w:abstractNumId w:val="22"/>
  </w:num>
  <w:num w:numId="11" w16cid:durableId="1056778899">
    <w:abstractNumId w:val="8"/>
  </w:num>
  <w:num w:numId="12" w16cid:durableId="757560396">
    <w:abstractNumId w:val="7"/>
  </w:num>
  <w:num w:numId="13" w16cid:durableId="305866233">
    <w:abstractNumId w:val="30"/>
  </w:num>
  <w:num w:numId="14" w16cid:durableId="716583135">
    <w:abstractNumId w:val="19"/>
  </w:num>
  <w:num w:numId="15" w16cid:durableId="576206888">
    <w:abstractNumId w:val="0"/>
  </w:num>
  <w:num w:numId="16" w16cid:durableId="443303007">
    <w:abstractNumId w:val="21"/>
  </w:num>
  <w:num w:numId="17" w16cid:durableId="1699350662">
    <w:abstractNumId w:val="17"/>
  </w:num>
  <w:num w:numId="18" w16cid:durableId="258294689">
    <w:abstractNumId w:val="23"/>
  </w:num>
  <w:num w:numId="19" w16cid:durableId="1538155900">
    <w:abstractNumId w:val="27"/>
  </w:num>
  <w:num w:numId="20" w16cid:durableId="1324624883">
    <w:abstractNumId w:val="24"/>
  </w:num>
  <w:num w:numId="21" w16cid:durableId="1792817231">
    <w:abstractNumId w:val="5"/>
  </w:num>
  <w:num w:numId="22" w16cid:durableId="643891460">
    <w:abstractNumId w:val="28"/>
  </w:num>
  <w:num w:numId="23" w16cid:durableId="906763485">
    <w:abstractNumId w:val="1"/>
  </w:num>
  <w:num w:numId="24" w16cid:durableId="435368516">
    <w:abstractNumId w:val="13"/>
  </w:num>
  <w:num w:numId="25" w16cid:durableId="1547914738">
    <w:abstractNumId w:val="25"/>
  </w:num>
  <w:num w:numId="26" w16cid:durableId="1979912192">
    <w:abstractNumId w:val="26"/>
  </w:num>
  <w:num w:numId="27" w16cid:durableId="192502844">
    <w:abstractNumId w:val="11"/>
  </w:num>
  <w:num w:numId="28" w16cid:durableId="1225413942">
    <w:abstractNumId w:val="14"/>
  </w:num>
  <w:num w:numId="29" w16cid:durableId="1157187171">
    <w:abstractNumId w:val="15"/>
  </w:num>
  <w:num w:numId="30" w16cid:durableId="1533761082">
    <w:abstractNumId w:val="4"/>
  </w:num>
  <w:num w:numId="31" w16cid:durableId="517388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F3"/>
    <w:rsid w:val="00001750"/>
    <w:rsid w:val="00011EC5"/>
    <w:rsid w:val="000263A5"/>
    <w:rsid w:val="00036546"/>
    <w:rsid w:val="00055A31"/>
    <w:rsid w:val="00061B34"/>
    <w:rsid w:val="000C10CD"/>
    <w:rsid w:val="001031EA"/>
    <w:rsid w:val="00103B3A"/>
    <w:rsid w:val="001202BB"/>
    <w:rsid w:val="00137C61"/>
    <w:rsid w:val="001609E6"/>
    <w:rsid w:val="00161787"/>
    <w:rsid w:val="00186486"/>
    <w:rsid w:val="001908B0"/>
    <w:rsid w:val="001D5A3F"/>
    <w:rsid w:val="00226265"/>
    <w:rsid w:val="00235EA1"/>
    <w:rsid w:val="00237BE2"/>
    <w:rsid w:val="00242E4C"/>
    <w:rsid w:val="002E0743"/>
    <w:rsid w:val="0032179C"/>
    <w:rsid w:val="00335640"/>
    <w:rsid w:val="00346FB4"/>
    <w:rsid w:val="00353AF8"/>
    <w:rsid w:val="00360406"/>
    <w:rsid w:val="003837FA"/>
    <w:rsid w:val="003926BE"/>
    <w:rsid w:val="003976C3"/>
    <w:rsid w:val="003B4684"/>
    <w:rsid w:val="003B743D"/>
    <w:rsid w:val="003C0E27"/>
    <w:rsid w:val="004179DE"/>
    <w:rsid w:val="0042168A"/>
    <w:rsid w:val="00476F84"/>
    <w:rsid w:val="00477411"/>
    <w:rsid w:val="00481EB2"/>
    <w:rsid w:val="004A6568"/>
    <w:rsid w:val="004D0BE3"/>
    <w:rsid w:val="004D57E9"/>
    <w:rsid w:val="004D6E07"/>
    <w:rsid w:val="004F1620"/>
    <w:rsid w:val="005051AA"/>
    <w:rsid w:val="005462E8"/>
    <w:rsid w:val="00550C1A"/>
    <w:rsid w:val="005511F0"/>
    <w:rsid w:val="00561091"/>
    <w:rsid w:val="005859E9"/>
    <w:rsid w:val="005C2916"/>
    <w:rsid w:val="005C7104"/>
    <w:rsid w:val="005D0373"/>
    <w:rsid w:val="005F2A36"/>
    <w:rsid w:val="00645D09"/>
    <w:rsid w:val="00650104"/>
    <w:rsid w:val="00655DDB"/>
    <w:rsid w:val="00661FF3"/>
    <w:rsid w:val="00670EA1"/>
    <w:rsid w:val="0067141C"/>
    <w:rsid w:val="00675B1A"/>
    <w:rsid w:val="006C619F"/>
    <w:rsid w:val="006F287C"/>
    <w:rsid w:val="007107B5"/>
    <w:rsid w:val="00743E52"/>
    <w:rsid w:val="007830B8"/>
    <w:rsid w:val="007834CC"/>
    <w:rsid w:val="007979B8"/>
    <w:rsid w:val="007B7CC4"/>
    <w:rsid w:val="007C002D"/>
    <w:rsid w:val="007F57EF"/>
    <w:rsid w:val="00832760"/>
    <w:rsid w:val="00853776"/>
    <w:rsid w:val="00860FC1"/>
    <w:rsid w:val="00865A2E"/>
    <w:rsid w:val="008A3822"/>
    <w:rsid w:val="008B2B87"/>
    <w:rsid w:val="008C7AA1"/>
    <w:rsid w:val="008E4D41"/>
    <w:rsid w:val="008E5BAA"/>
    <w:rsid w:val="009250C1"/>
    <w:rsid w:val="0094023A"/>
    <w:rsid w:val="00955AE2"/>
    <w:rsid w:val="00970675"/>
    <w:rsid w:val="009817D1"/>
    <w:rsid w:val="00983FA9"/>
    <w:rsid w:val="009C3C9A"/>
    <w:rsid w:val="009C58D9"/>
    <w:rsid w:val="00A01B87"/>
    <w:rsid w:val="00A14FC5"/>
    <w:rsid w:val="00A41F30"/>
    <w:rsid w:val="00A440EE"/>
    <w:rsid w:val="00A7272A"/>
    <w:rsid w:val="00A74109"/>
    <w:rsid w:val="00A921FE"/>
    <w:rsid w:val="00AE390E"/>
    <w:rsid w:val="00B31B74"/>
    <w:rsid w:val="00B45AFB"/>
    <w:rsid w:val="00B52FFC"/>
    <w:rsid w:val="00B91E95"/>
    <w:rsid w:val="00B978B7"/>
    <w:rsid w:val="00BB3C70"/>
    <w:rsid w:val="00BE0941"/>
    <w:rsid w:val="00C17E34"/>
    <w:rsid w:val="00C637C9"/>
    <w:rsid w:val="00C9420A"/>
    <w:rsid w:val="00CA63B3"/>
    <w:rsid w:val="00CD1AE5"/>
    <w:rsid w:val="00CD2030"/>
    <w:rsid w:val="00D12DB6"/>
    <w:rsid w:val="00D17CC7"/>
    <w:rsid w:val="00D35917"/>
    <w:rsid w:val="00D609D5"/>
    <w:rsid w:val="00D63D68"/>
    <w:rsid w:val="00D65197"/>
    <w:rsid w:val="00D734DD"/>
    <w:rsid w:val="00DB42CB"/>
    <w:rsid w:val="00DC2816"/>
    <w:rsid w:val="00DC395A"/>
    <w:rsid w:val="00DC5A19"/>
    <w:rsid w:val="00DF21BD"/>
    <w:rsid w:val="00E05EB1"/>
    <w:rsid w:val="00E6258D"/>
    <w:rsid w:val="00E73402"/>
    <w:rsid w:val="00EA4C19"/>
    <w:rsid w:val="00EB2068"/>
    <w:rsid w:val="00EB3D9F"/>
    <w:rsid w:val="00EB6B51"/>
    <w:rsid w:val="00EC735A"/>
    <w:rsid w:val="00F02AF6"/>
    <w:rsid w:val="00F05457"/>
    <w:rsid w:val="00F426E9"/>
    <w:rsid w:val="00F567FE"/>
    <w:rsid w:val="00F96996"/>
    <w:rsid w:val="00FE0F29"/>
    <w:rsid w:val="00FE3BC3"/>
    <w:rsid w:val="00FE3BCC"/>
    <w:rsid w:val="00FE6CF3"/>
    <w:rsid w:val="00FF30BB"/>
    <w:rsid w:val="00FF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50AFB"/>
  <w15:docId w15:val="{EE0C71CF-5933-4474-B558-E4DB392B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A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CF3"/>
  </w:style>
  <w:style w:type="paragraph" w:styleId="Stopka">
    <w:name w:val="footer"/>
    <w:basedOn w:val="Normalny"/>
    <w:link w:val="Stopka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CF3"/>
  </w:style>
  <w:style w:type="character" w:styleId="Hipercze">
    <w:name w:val="Hyperlink"/>
    <w:basedOn w:val="Domylnaczcionkaakapitu"/>
    <w:uiPriority w:val="99"/>
    <w:unhideWhenUsed/>
    <w:rsid w:val="005D037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D037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E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E2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azne">
    <w:name w:val="wazne"/>
    <w:basedOn w:val="Normalny"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4684"/>
    <w:pPr>
      <w:ind w:left="720"/>
      <w:contextualSpacing/>
    </w:pPr>
  </w:style>
  <w:style w:type="character" w:customStyle="1" w:styleId="alb">
    <w:name w:val="a_lb"/>
    <w:basedOn w:val="Domylnaczcionkaakapitu"/>
    <w:rsid w:val="00F426E9"/>
  </w:style>
  <w:style w:type="character" w:styleId="Uwydatnienie">
    <w:name w:val="Emphasis"/>
    <w:basedOn w:val="Domylnaczcionkaakapitu"/>
    <w:uiPriority w:val="20"/>
    <w:qFormat/>
    <w:rsid w:val="00F426E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9D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3A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3A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3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8960E-A1A0-478B-8C94-D9554957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Katarzyna Turbiarz</cp:lastModifiedBy>
  <cp:revision>3</cp:revision>
  <cp:lastPrinted>2024-07-24T08:07:00Z</cp:lastPrinted>
  <dcterms:created xsi:type="dcterms:W3CDTF">2026-05-26T08:19:00Z</dcterms:created>
  <dcterms:modified xsi:type="dcterms:W3CDTF">2026-05-26T08:24:00Z</dcterms:modified>
</cp:coreProperties>
</file>