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C96E2" w14:textId="3F75D8F5" w:rsidR="00353AF8" w:rsidRDefault="00481EB2" w:rsidP="00DC2816">
      <w:pPr>
        <w:jc w:val="both"/>
        <w:rPr>
          <w:rFonts w:asciiTheme="majorHAnsi" w:hAnsiTheme="majorHAnsi" w:cstheme="minorHAnsi"/>
          <w:bCs/>
          <w:sz w:val="24"/>
          <w:szCs w:val="24"/>
        </w:rPr>
      </w:pPr>
      <w:r w:rsidRPr="00481EB2">
        <w:rPr>
          <w:rFonts w:asciiTheme="majorHAnsi" w:hAnsiTheme="majorHAnsi" w:cstheme="minorHAnsi"/>
          <w:bCs/>
          <w:sz w:val="24"/>
          <w:szCs w:val="24"/>
        </w:rPr>
        <w:t>Do</w:t>
      </w:r>
      <w:r w:rsidRPr="00481EB2">
        <w:rPr>
          <w:rFonts w:asciiTheme="majorHAnsi" w:hAnsiTheme="majorHAnsi" w:cstheme="minorHAnsi"/>
          <w:b/>
          <w:bCs/>
          <w:sz w:val="24"/>
          <w:szCs w:val="24"/>
        </w:rPr>
        <w:t xml:space="preserve"> piątej</w:t>
      </w:r>
      <w:r w:rsidRPr="00481EB2">
        <w:rPr>
          <w:rFonts w:asciiTheme="majorHAnsi" w:hAnsiTheme="majorHAnsi" w:cstheme="minorHAnsi"/>
          <w:bCs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/>
          <w:bCs/>
          <w:sz w:val="24"/>
          <w:szCs w:val="24"/>
        </w:rPr>
        <w:t>grupy spadkobierców</w:t>
      </w:r>
      <w:r w:rsidRPr="00481EB2">
        <w:rPr>
          <w:rFonts w:asciiTheme="majorHAnsi" w:hAnsiTheme="majorHAnsi" w:cstheme="minorHAnsi"/>
          <w:bCs/>
          <w:sz w:val="24"/>
          <w:szCs w:val="24"/>
        </w:rPr>
        <w:t xml:space="preserve"> ustawowych należy:</w:t>
      </w:r>
    </w:p>
    <w:p w14:paraId="330C82A8" w14:textId="03E9D999" w:rsidR="00481EB2" w:rsidRDefault="00481EB2" w:rsidP="00481EB2">
      <w:pPr>
        <w:jc w:val="both"/>
        <w:rPr>
          <w:rFonts w:asciiTheme="majorHAnsi" w:hAnsiTheme="majorHAnsi" w:cstheme="minorHAnsi"/>
          <w:bCs/>
          <w:sz w:val="24"/>
          <w:szCs w:val="24"/>
        </w:rPr>
      </w:pPr>
      <w:r w:rsidRPr="00481EB2">
        <w:rPr>
          <w:rFonts w:asciiTheme="majorHAnsi" w:hAnsiTheme="majorHAnsi" w:cstheme="minorHAnsi"/>
          <w:bCs/>
          <w:sz w:val="24"/>
          <w:szCs w:val="24"/>
        </w:rPr>
        <w:t>- gmina ostatniego miejsca zamieszkania spadkodawcy lub</w:t>
      </w:r>
      <w:r>
        <w:rPr>
          <w:rFonts w:asciiTheme="majorHAnsi" w:hAnsiTheme="majorHAnsi" w:cstheme="minorHAnsi"/>
          <w:bCs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Cs/>
          <w:sz w:val="24"/>
          <w:szCs w:val="24"/>
        </w:rPr>
        <w:t>Skarb Państwa.</w:t>
      </w:r>
    </w:p>
    <w:p w14:paraId="207BB2AF" w14:textId="77777777" w:rsidR="00DF21BD" w:rsidRPr="00481EB2" w:rsidRDefault="00DF21BD" w:rsidP="00481EB2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4B19447F" w14:textId="0B62192D" w:rsidR="00DF21BD" w:rsidRPr="00DF21BD" w:rsidRDefault="00DF21BD" w:rsidP="00DF21BD">
      <w:pPr>
        <w:jc w:val="both"/>
        <w:rPr>
          <w:rFonts w:asciiTheme="majorHAnsi" w:hAnsiTheme="majorHAnsi" w:cstheme="minorHAnsi"/>
          <w:bCs/>
          <w:sz w:val="24"/>
          <w:szCs w:val="24"/>
        </w:rPr>
      </w:pPr>
      <w:r w:rsidRPr="00DF21BD">
        <w:rPr>
          <w:rFonts w:asciiTheme="majorHAnsi" w:hAnsiTheme="majorHAnsi" w:cstheme="minorHAnsi"/>
          <w:bCs/>
          <w:sz w:val="24"/>
          <w:szCs w:val="24"/>
        </w:rPr>
        <w:t xml:space="preserve">Do dziedziczenia w tej grupie zachodzi </w:t>
      </w:r>
      <w:r w:rsidR="00237BE2">
        <w:rPr>
          <w:rFonts w:asciiTheme="majorHAnsi" w:hAnsiTheme="majorHAnsi" w:cstheme="minorHAnsi"/>
          <w:bCs/>
          <w:sz w:val="24"/>
          <w:szCs w:val="24"/>
        </w:rPr>
        <w:t xml:space="preserve">                                </w:t>
      </w:r>
      <w:r w:rsidRPr="00DF21BD">
        <w:rPr>
          <w:rFonts w:asciiTheme="majorHAnsi" w:hAnsiTheme="majorHAnsi" w:cstheme="minorHAnsi"/>
          <w:bCs/>
          <w:sz w:val="24"/>
          <w:szCs w:val="24"/>
        </w:rPr>
        <w:t xml:space="preserve">w przypadku braku spadkobierców  </w:t>
      </w:r>
      <w:r w:rsidR="005051AA">
        <w:rPr>
          <w:rFonts w:asciiTheme="majorHAnsi" w:hAnsiTheme="majorHAnsi" w:cstheme="minorHAnsi"/>
          <w:bCs/>
          <w:sz w:val="24"/>
          <w:szCs w:val="24"/>
        </w:rPr>
        <w:t xml:space="preserve">                                         </w:t>
      </w:r>
      <w:r w:rsidRPr="00DF21BD">
        <w:rPr>
          <w:rFonts w:asciiTheme="majorHAnsi" w:hAnsiTheme="majorHAnsi" w:cstheme="minorHAnsi"/>
          <w:bCs/>
          <w:sz w:val="24"/>
          <w:szCs w:val="24"/>
        </w:rPr>
        <w:t xml:space="preserve">z poprzednich grup spadkobierców ustawowych. </w:t>
      </w:r>
    </w:p>
    <w:p w14:paraId="23658904" w14:textId="77777777" w:rsidR="00DF21BD" w:rsidRPr="00DF21BD" w:rsidRDefault="00DF21BD" w:rsidP="00DF21BD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1FD2FB7" w14:textId="77777777" w:rsidR="00481EB2" w:rsidRPr="00481EB2" w:rsidRDefault="00481EB2" w:rsidP="00481EB2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691C3A4C" w14:textId="77777777" w:rsidR="00481EB2" w:rsidRPr="00481EB2" w:rsidRDefault="00481EB2" w:rsidP="00481EB2">
      <w:pPr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481EB2">
        <w:rPr>
          <w:rFonts w:asciiTheme="majorHAnsi" w:hAnsiTheme="majorHAnsi" w:cstheme="minorHAnsi"/>
          <w:b/>
          <w:bCs/>
          <w:sz w:val="24"/>
          <w:szCs w:val="24"/>
        </w:rPr>
        <w:t>Dziedziczenie w przypadku przysposobienia pełnego</w:t>
      </w:r>
    </w:p>
    <w:p w14:paraId="7AF56600" w14:textId="77777777" w:rsidR="00481EB2" w:rsidRPr="00481EB2" w:rsidRDefault="00481EB2" w:rsidP="005051AA">
      <w:pPr>
        <w:rPr>
          <w:rFonts w:asciiTheme="majorHAnsi" w:hAnsiTheme="majorHAnsi" w:cstheme="minorHAnsi"/>
          <w:bCs/>
          <w:sz w:val="24"/>
          <w:szCs w:val="24"/>
        </w:rPr>
      </w:pPr>
    </w:p>
    <w:p w14:paraId="33571087" w14:textId="5826B6B1" w:rsidR="00481EB2" w:rsidRPr="00481EB2" w:rsidRDefault="00481EB2" w:rsidP="005051AA">
      <w:pPr>
        <w:jc w:val="both"/>
        <w:rPr>
          <w:rFonts w:asciiTheme="majorHAnsi" w:hAnsiTheme="majorHAnsi" w:cstheme="minorHAnsi"/>
          <w:bCs/>
          <w:sz w:val="24"/>
          <w:szCs w:val="24"/>
        </w:rPr>
      </w:pPr>
      <w:r w:rsidRPr="00481EB2">
        <w:rPr>
          <w:rFonts w:asciiTheme="majorHAnsi" w:hAnsiTheme="majorHAnsi" w:cstheme="minorHAnsi"/>
          <w:bCs/>
          <w:sz w:val="24"/>
          <w:szCs w:val="24"/>
        </w:rPr>
        <w:t>Przysposobiony dziedziczy po</w:t>
      </w:r>
      <w:r w:rsidR="005051AA">
        <w:rPr>
          <w:rFonts w:asciiTheme="majorHAnsi" w:hAnsiTheme="majorHAnsi" w:cstheme="minorHAnsi"/>
          <w:bCs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Cs/>
          <w:sz w:val="24"/>
          <w:szCs w:val="24"/>
        </w:rPr>
        <w:t>przysposabiającym i jego krewnych tak jakby był dzieckiem przysposabiającego.</w:t>
      </w:r>
      <w:r>
        <w:rPr>
          <w:rFonts w:asciiTheme="majorHAnsi" w:hAnsiTheme="majorHAnsi" w:cstheme="minorHAnsi"/>
          <w:bCs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Cs/>
          <w:sz w:val="24"/>
          <w:szCs w:val="24"/>
        </w:rPr>
        <w:t xml:space="preserve">Przysposabiający dziedziczą po przysposobionym i jego krewnych tak jakby byli rodzicami przysposobionego. </w:t>
      </w:r>
    </w:p>
    <w:p w14:paraId="2C339F1E" w14:textId="5F3E6D27" w:rsidR="008E4D41" w:rsidRDefault="00481EB2" w:rsidP="00C17E34">
      <w:pPr>
        <w:jc w:val="both"/>
        <w:rPr>
          <w:rFonts w:asciiTheme="majorHAnsi" w:hAnsiTheme="majorHAnsi" w:cstheme="minorHAnsi"/>
          <w:bCs/>
          <w:sz w:val="24"/>
          <w:szCs w:val="24"/>
        </w:rPr>
      </w:pPr>
      <w:r w:rsidRPr="00481EB2">
        <w:rPr>
          <w:rFonts w:asciiTheme="majorHAnsi" w:hAnsiTheme="majorHAnsi" w:cstheme="minorHAnsi"/>
          <w:bCs/>
          <w:sz w:val="24"/>
          <w:szCs w:val="24"/>
        </w:rPr>
        <w:t xml:space="preserve">W przypadku przysposobienia pełnego nie dziedziczy się po swoich krewnych naturalnych a ci nie dziedziczą po przysposobionym. </w:t>
      </w:r>
    </w:p>
    <w:p w14:paraId="7B624905" w14:textId="77777777" w:rsidR="00481EB2" w:rsidRDefault="00481EB2" w:rsidP="00C17E34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74881DCE" w14:textId="24EC5C20" w:rsidR="008E4D41" w:rsidRDefault="008E4D41" w:rsidP="00DC5A19">
      <w:pPr>
        <w:jc w:val="center"/>
        <w:rPr>
          <w:rFonts w:asciiTheme="majorHAnsi" w:hAnsiTheme="majorHAnsi" w:cstheme="minorHAnsi"/>
          <w:bCs/>
          <w:sz w:val="24"/>
          <w:szCs w:val="24"/>
        </w:rPr>
      </w:pPr>
    </w:p>
    <w:p w14:paraId="6804EA28" w14:textId="74F8AAEA" w:rsidR="00C17E34" w:rsidRPr="00237BE2" w:rsidRDefault="00C17E34" w:rsidP="00C17E34">
      <w:pPr>
        <w:jc w:val="both"/>
        <w:rPr>
          <w:rFonts w:ascii="Bookman Old Style" w:hAnsi="Bookman Old Style" w:cstheme="minorHAnsi"/>
          <w:b/>
          <w:bCs/>
          <w:color w:val="943634" w:themeColor="accent2" w:themeShade="BF"/>
          <w:sz w:val="24"/>
          <w:szCs w:val="24"/>
        </w:rPr>
      </w:pPr>
      <w:r w:rsidRPr="00237BE2">
        <w:rPr>
          <w:rFonts w:ascii="Bookman Old Style" w:hAnsi="Bookman Old Style" w:cstheme="minorHAnsi"/>
          <w:b/>
          <w:bCs/>
          <w:color w:val="943634" w:themeColor="accent2" w:themeShade="BF"/>
          <w:sz w:val="24"/>
          <w:szCs w:val="24"/>
        </w:rPr>
        <w:t>Nieodpłatna pomoc prawna                                    i nieodpłatne poradnictwo obywatelskie przysługują osobie uprawnionej, która nie jest w stanie ponieść kosztów odpłatnej pomocy prawnej, w tym osobie fizycznej prowadzącej jednoosobową działalność gospodarczą niezatrudniającą innych osób w ciągu ostatniego roku.</w:t>
      </w:r>
    </w:p>
    <w:p w14:paraId="398A9EDA" w14:textId="77777777" w:rsidR="00C17E34" w:rsidRPr="00237BE2" w:rsidRDefault="00C17E34" w:rsidP="00C17E34">
      <w:pPr>
        <w:jc w:val="both"/>
        <w:rPr>
          <w:rFonts w:ascii="Bookman Old Style" w:hAnsi="Bookman Old Style" w:cstheme="minorHAnsi"/>
          <w:b/>
          <w:color w:val="943634" w:themeColor="accent2" w:themeShade="BF"/>
          <w:sz w:val="24"/>
          <w:szCs w:val="24"/>
        </w:rPr>
      </w:pPr>
      <w:r w:rsidRPr="00237BE2">
        <w:rPr>
          <w:rFonts w:ascii="Bookman Old Style" w:hAnsi="Bookman Old Style" w:cstheme="minorHAnsi"/>
          <w:b/>
          <w:color w:val="943634" w:themeColor="accent2" w:themeShade="BF"/>
          <w:sz w:val="24"/>
          <w:szCs w:val="24"/>
        </w:rPr>
        <w:t>Udzielanie porad odbywa się według kolejności zgłoszeń po umówieniu terminu wizyty.</w:t>
      </w:r>
    </w:p>
    <w:p w14:paraId="15FCEC63" w14:textId="77777777" w:rsidR="00C17E34" w:rsidRPr="00237BE2" w:rsidRDefault="00C17E34" w:rsidP="00C17E34">
      <w:pPr>
        <w:jc w:val="both"/>
        <w:rPr>
          <w:rFonts w:ascii="Bookman Old Style" w:hAnsi="Bookman Old Style" w:cstheme="minorHAnsi"/>
          <w:b/>
          <w:color w:val="943634" w:themeColor="accent2" w:themeShade="BF"/>
          <w:sz w:val="24"/>
          <w:szCs w:val="24"/>
        </w:rPr>
      </w:pPr>
      <w:r w:rsidRPr="00237BE2">
        <w:rPr>
          <w:rFonts w:ascii="Bookman Old Style" w:hAnsi="Bookman Old Style" w:cstheme="minorHAnsi"/>
          <w:b/>
          <w:color w:val="943634" w:themeColor="accent2" w:themeShade="BF"/>
          <w:sz w:val="24"/>
          <w:szCs w:val="24"/>
        </w:rPr>
        <w:t>Kobiecie która jest w ciąży porady udziela się poza kolejnością.</w:t>
      </w:r>
    </w:p>
    <w:p w14:paraId="2305479E" w14:textId="77777777" w:rsidR="00C17E34" w:rsidRPr="00237BE2" w:rsidRDefault="00C17E34" w:rsidP="00C17E34">
      <w:pPr>
        <w:jc w:val="both"/>
        <w:rPr>
          <w:rFonts w:ascii="Bookman Old Style" w:hAnsi="Bookman Old Style" w:cstheme="minorHAnsi"/>
          <w:b/>
          <w:color w:val="943634" w:themeColor="accent2" w:themeShade="BF"/>
          <w:sz w:val="24"/>
          <w:szCs w:val="24"/>
        </w:rPr>
      </w:pPr>
    </w:p>
    <w:p w14:paraId="7E3F0FAB" w14:textId="77777777" w:rsidR="00481EB2" w:rsidRDefault="00481EB2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114C365A" w14:textId="77777777" w:rsidR="00481EB2" w:rsidRDefault="00481EB2" w:rsidP="001609E6">
      <w:pPr>
        <w:jc w:val="center"/>
        <w:rPr>
          <w:rFonts w:asciiTheme="majorHAnsi" w:hAnsiTheme="majorHAnsi" w:cstheme="minorHAnsi"/>
          <w:sz w:val="24"/>
          <w:szCs w:val="24"/>
        </w:rPr>
      </w:pPr>
    </w:p>
    <w:p w14:paraId="344702D3" w14:textId="77777777" w:rsidR="00DF21BD" w:rsidRPr="00DF21BD" w:rsidRDefault="00DF21BD" w:rsidP="00DF21BD">
      <w:pPr>
        <w:jc w:val="both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Punkty nieodpłatnej pomocy prawnej oraz nieodpłatnego poradnictwa obywatelskiego prowadzone przez Lokalną Grupę Działania Powiatu Opatowskiego:</w:t>
      </w:r>
    </w:p>
    <w:p w14:paraId="23442275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57240067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07EAB920" w14:textId="77777777" w:rsidR="00DF21BD" w:rsidRDefault="00DF21BD" w:rsidP="00DF21BD">
      <w:pPr>
        <w:numPr>
          <w:ilvl w:val="0"/>
          <w:numId w:val="14"/>
        </w:num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  <w:t>na terenie powiatu opatowskiego:</w:t>
      </w:r>
    </w:p>
    <w:p w14:paraId="6BEE4A53" w14:textId="77777777" w:rsidR="00DF21BD" w:rsidRPr="00DF21BD" w:rsidRDefault="00DF21BD" w:rsidP="00DF21BD">
      <w:pPr>
        <w:ind w:left="720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52CCB333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  <w:u w:val="single"/>
        </w:rPr>
      </w:pPr>
    </w:p>
    <w:p w14:paraId="12039CAC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Punkt Nieodpłatnej Pomocy Prawnej</w:t>
      </w:r>
    </w:p>
    <w:p w14:paraId="2F9E309A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bookmarkStart w:id="0" w:name="_Hlk63159961"/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Opatów, ul. Sienkiewicza 17</w:t>
      </w:r>
    </w:p>
    <w:p w14:paraId="62BB4DAC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 xml:space="preserve">(budynek Starostwa Powiatowego </w:t>
      </w: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br/>
        <w:t>w Opatowie) czynny :</w:t>
      </w:r>
    </w:p>
    <w:p w14:paraId="273AB1DB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469FB57F" w14:textId="46B4F6DB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poniedziałek od 7:30 do 11:30</w:t>
      </w:r>
    </w:p>
    <w:p w14:paraId="6A97566A" w14:textId="6597BD5E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wtorek od 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od 7:30 do 11:30</w:t>
      </w:r>
    </w:p>
    <w:p w14:paraId="7802A632" w14:textId="4DF17C2E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czwartek </w:t>
      </w:r>
      <w:bookmarkEnd w:id="0"/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od 7:30 do 11:30</w:t>
      </w:r>
    </w:p>
    <w:p w14:paraId="7FD9EDD1" w14:textId="3FD83065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piątek </w:t>
      </w:r>
      <w:r w:rsidR="00237BE2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od 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1</w:t>
      </w:r>
      <w:r w:rsidR="00046254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1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:30 do 1</w:t>
      </w:r>
      <w:r w:rsidR="00046254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5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:30 </w:t>
      </w:r>
    </w:p>
    <w:p w14:paraId="397F7A73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1B02BB30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18AEBCEF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Punkt Nieodpłatnego Poradnictwa Obywatelskiego</w:t>
      </w:r>
    </w:p>
    <w:p w14:paraId="0292DE8A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Opatów, ul. Sienkiewicza 17</w:t>
      </w:r>
    </w:p>
    <w:p w14:paraId="57701312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 xml:space="preserve">(budynek Starostwa Powiatowego </w:t>
      </w: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br/>
        <w:t>w Opatowie) czynny:</w:t>
      </w:r>
    </w:p>
    <w:p w14:paraId="25F29E47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01988990" w14:textId="73D6664A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środa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 xml:space="preserve"> od 7:30 do 12:</w:t>
      </w: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0</w:t>
      </w:r>
      <w:r w:rsidRPr="00DF21BD"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  <w:t>0</w:t>
      </w:r>
    </w:p>
    <w:p w14:paraId="53E212A2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710587AD" w14:textId="77777777" w:rsid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64C7B1C4" w14:textId="77777777" w:rsidR="00DF21BD" w:rsidRPr="00DF21BD" w:rsidRDefault="00DF21BD" w:rsidP="00237BE2">
      <w:pPr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22F1A8F8" w14:textId="3C6AB5A8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sz w:val="24"/>
          <w:szCs w:val="24"/>
        </w:rPr>
        <w:t>Obowiązuje rejestracja na wizyty</w:t>
      </w:r>
    </w:p>
    <w:p w14:paraId="2BEC086A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  <w:r w:rsidRPr="00DF21BD">
        <w:rPr>
          <w:rFonts w:ascii="Bookman Old Style" w:hAnsi="Bookman Old Style" w:cstheme="minorHAnsi"/>
          <w:b/>
          <w:bCs/>
          <w:noProof/>
          <w:sz w:val="24"/>
          <w:szCs w:val="24"/>
        </w:rPr>
        <w:t>pod numerem telefonu</w:t>
      </w:r>
      <w:r w:rsidRPr="00DF21BD"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  <w:t>:</w:t>
      </w:r>
    </w:p>
    <w:p w14:paraId="190B8794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24"/>
          <w:szCs w:val="24"/>
        </w:rPr>
      </w:pPr>
    </w:p>
    <w:p w14:paraId="6A5CEDAA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32"/>
          <w:szCs w:val="32"/>
        </w:rPr>
      </w:pPr>
      <w:r w:rsidRPr="00DF21BD">
        <w:rPr>
          <w:rFonts w:ascii="Bookman Old Style" w:hAnsi="Bookman Old Style" w:cstheme="minorHAnsi"/>
          <w:b/>
          <w:bCs/>
          <w:noProof/>
          <w:color w:val="A20000"/>
          <w:sz w:val="32"/>
          <w:szCs w:val="32"/>
        </w:rPr>
        <w:t>797-994-712</w:t>
      </w:r>
    </w:p>
    <w:p w14:paraId="0A1675BE" w14:textId="77777777" w:rsidR="00DF21BD" w:rsidRPr="00DF21BD" w:rsidRDefault="00DF21BD" w:rsidP="00DF21BD">
      <w:pPr>
        <w:jc w:val="center"/>
        <w:rPr>
          <w:rFonts w:ascii="Bookman Old Style" w:hAnsi="Bookman Old Style" w:cstheme="minorHAnsi"/>
          <w:b/>
          <w:bCs/>
          <w:noProof/>
          <w:color w:val="A20000"/>
          <w:sz w:val="32"/>
          <w:szCs w:val="32"/>
        </w:rPr>
      </w:pPr>
    </w:p>
    <w:p w14:paraId="13E663E7" w14:textId="77777777" w:rsidR="00B52FFC" w:rsidRDefault="00B52FFC" w:rsidP="0032179C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24"/>
          <w:szCs w:val="24"/>
        </w:rPr>
      </w:pPr>
    </w:p>
    <w:p w14:paraId="74F67AC7" w14:textId="77777777" w:rsidR="00001750" w:rsidRDefault="00001750" w:rsidP="00B52FFC">
      <w:pPr>
        <w:rPr>
          <w:rFonts w:ascii="Bookman Old Style" w:hAnsi="Bookman Old Style" w:cstheme="minorHAnsi"/>
          <w:b/>
          <w:bCs/>
          <w:noProof/>
          <w:color w:val="0F243E" w:themeColor="text2" w:themeShade="80"/>
          <w:sz w:val="36"/>
          <w:szCs w:val="36"/>
        </w:rPr>
      </w:pPr>
    </w:p>
    <w:p w14:paraId="02362AB7" w14:textId="14C3334A" w:rsidR="004179DE" w:rsidRDefault="004179DE" w:rsidP="004179DE">
      <w:pPr>
        <w:jc w:val="center"/>
        <w:rPr>
          <w:rFonts w:ascii="Bookman Old Style" w:hAnsi="Bookman Old Style" w:cstheme="minorHAnsi"/>
          <w:b/>
          <w:bCs/>
          <w:noProof/>
          <w:color w:val="0F243E" w:themeColor="text2" w:themeShade="80"/>
          <w:sz w:val="36"/>
          <w:szCs w:val="36"/>
        </w:rPr>
      </w:pPr>
      <w:r w:rsidRPr="004179DE">
        <w:rPr>
          <w:rFonts w:ascii="Bookman Old Style" w:hAnsi="Bookman Old Style" w:cstheme="minorHAnsi"/>
          <w:b/>
          <w:bCs/>
          <w:noProof/>
          <w:color w:val="0F243E" w:themeColor="text2" w:themeShade="80"/>
          <w:sz w:val="36"/>
          <w:szCs w:val="36"/>
        </w:rPr>
        <w:t>Informator</w:t>
      </w:r>
    </w:p>
    <w:p w14:paraId="1F9364B1" w14:textId="0FE7D716" w:rsidR="00242E4C" w:rsidRPr="004179DE" w:rsidRDefault="00242E4C" w:rsidP="004179DE">
      <w:pPr>
        <w:jc w:val="center"/>
        <w:rPr>
          <w:rFonts w:ascii="Bookman Old Style" w:hAnsi="Bookman Old Style" w:cstheme="minorHAnsi"/>
          <w:b/>
          <w:bCs/>
          <w:color w:val="0F243E" w:themeColor="text2" w:themeShade="80"/>
          <w:sz w:val="36"/>
          <w:szCs w:val="36"/>
        </w:rPr>
      </w:pPr>
      <w:r>
        <w:rPr>
          <w:rFonts w:ascii="Bookman Old Style" w:hAnsi="Bookman Old Style" w:cstheme="minorHAnsi"/>
          <w:b/>
          <w:bCs/>
          <w:noProof/>
          <w:color w:val="0F243E" w:themeColor="text2" w:themeShade="80"/>
          <w:sz w:val="36"/>
          <w:szCs w:val="36"/>
        </w:rPr>
        <w:t xml:space="preserve">prawny </w:t>
      </w:r>
    </w:p>
    <w:p w14:paraId="1B8ECC6B" w14:textId="77777777" w:rsidR="004F1620" w:rsidRDefault="004F1620" w:rsidP="004179DE">
      <w:pPr>
        <w:jc w:val="center"/>
        <w:rPr>
          <w:rFonts w:ascii="Bookman Old Style" w:hAnsi="Bookman Old Style" w:cstheme="minorHAnsi"/>
          <w:b/>
          <w:bCs/>
          <w:color w:val="365F91" w:themeColor="accent1" w:themeShade="BF"/>
          <w:sz w:val="36"/>
          <w:szCs w:val="36"/>
        </w:rPr>
      </w:pPr>
    </w:p>
    <w:p w14:paraId="3A3E3AB4" w14:textId="07D4820D" w:rsidR="00D734DD" w:rsidRPr="00DF21BD" w:rsidRDefault="00DF21BD" w:rsidP="00B31B74">
      <w:pPr>
        <w:jc w:val="center"/>
        <w:rPr>
          <w:rFonts w:ascii="Bookman Old Style" w:hAnsi="Bookman Old Style" w:cstheme="minorHAnsi"/>
          <w:color w:val="A20000"/>
        </w:rPr>
      </w:pPr>
      <w:r w:rsidRPr="00DF21BD">
        <w:rPr>
          <w:rFonts w:ascii="Bookman Old Style" w:hAnsi="Bookman Old Style" w:cstheme="minorHAnsi"/>
          <w:b/>
          <w:bCs/>
          <w:color w:val="A20000"/>
          <w:sz w:val="40"/>
          <w:szCs w:val="40"/>
        </w:rPr>
        <w:t xml:space="preserve">Dziedziczenie ustawowe </w:t>
      </w:r>
    </w:p>
    <w:p w14:paraId="438F3E4B" w14:textId="77777777" w:rsidR="00865A2E" w:rsidRPr="00DF21BD" w:rsidRDefault="00865A2E" w:rsidP="00743E52">
      <w:pPr>
        <w:jc w:val="center"/>
        <w:rPr>
          <w:rFonts w:ascii="Bookman Old Style" w:hAnsi="Bookman Old Style" w:cstheme="minorHAnsi"/>
          <w:color w:val="A20000"/>
        </w:rPr>
      </w:pPr>
    </w:p>
    <w:p w14:paraId="383975E3" w14:textId="77777777" w:rsidR="00AE390E" w:rsidRDefault="00AE390E" w:rsidP="00E6258D">
      <w:pPr>
        <w:rPr>
          <w:rFonts w:ascii="Bookman Old Style" w:hAnsi="Bookman Old Style" w:cstheme="minorHAnsi"/>
          <w:noProof/>
          <w:lang w:eastAsia="pl-PL"/>
        </w:rPr>
      </w:pPr>
    </w:p>
    <w:p w14:paraId="4A9F8FDF" w14:textId="77777777" w:rsidR="00AE390E" w:rsidRDefault="00AE390E" w:rsidP="00743E52">
      <w:pPr>
        <w:jc w:val="center"/>
        <w:rPr>
          <w:rFonts w:ascii="Bookman Old Style" w:hAnsi="Bookman Old Style" w:cstheme="minorHAnsi"/>
          <w:noProof/>
          <w:lang w:eastAsia="pl-PL"/>
        </w:rPr>
      </w:pPr>
    </w:p>
    <w:p w14:paraId="6754B874" w14:textId="77777777" w:rsidR="00E6258D" w:rsidRDefault="00E6258D" w:rsidP="00743E52">
      <w:pPr>
        <w:jc w:val="center"/>
        <w:rPr>
          <w:rFonts w:ascii="Bookman Old Style" w:hAnsi="Bookman Old Style" w:cstheme="minorHAnsi"/>
          <w:noProof/>
          <w:lang w:eastAsia="pl-PL"/>
        </w:rPr>
      </w:pPr>
    </w:p>
    <w:p w14:paraId="074F89D3" w14:textId="0F6C5903" w:rsidR="00D734DD" w:rsidRDefault="003C0E27" w:rsidP="00743E52">
      <w:pPr>
        <w:jc w:val="center"/>
        <w:rPr>
          <w:rFonts w:ascii="Bookman Old Style" w:hAnsi="Bookman Old Style" w:cstheme="minorHAnsi"/>
        </w:rPr>
      </w:pPr>
      <w:r w:rsidRPr="001908B0">
        <w:rPr>
          <w:rFonts w:ascii="Bookman Old Style" w:hAnsi="Bookman Old Style" w:cstheme="minorHAnsi"/>
          <w:noProof/>
          <w:lang w:eastAsia="pl-PL"/>
        </w:rPr>
        <w:drawing>
          <wp:inline distT="0" distB="0" distL="0" distR="0" wp14:anchorId="54136D44" wp14:editId="1407A948">
            <wp:extent cx="2000250" cy="2604406"/>
            <wp:effectExtent l="19050" t="0" r="19050" b="767715"/>
            <wp:docPr id="3" name="Obraz 7" descr="C:\Users\Krzysiek\AppData\Local\Microsoft\Windows\INetCache\IE\VI992GD6\paragraph-symbol-rule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rzysiek\AppData\Local\Microsoft\Windows\INetCache\IE\VI992GD6\paragraph-symbol-rules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495" cy="2625558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530C648A" w14:textId="77777777" w:rsidR="00E6258D" w:rsidRDefault="00E6258D" w:rsidP="00C17E34">
      <w:pPr>
        <w:spacing w:after="120"/>
        <w:jc w:val="both"/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</w:pPr>
    </w:p>
    <w:p w14:paraId="32F9CDAD" w14:textId="00B8F7F0" w:rsidR="00C17E34" w:rsidRPr="00C17E34" w:rsidRDefault="00C17E34" w:rsidP="00C17E34">
      <w:pPr>
        <w:spacing w:after="120"/>
        <w:jc w:val="both"/>
        <w:rPr>
          <w:rFonts w:asciiTheme="majorHAnsi" w:hAnsiTheme="majorHAnsi" w:cstheme="minorHAnsi"/>
          <w:b/>
          <w:bCs/>
          <w:i/>
          <w:iCs/>
          <w:sz w:val="24"/>
          <w:szCs w:val="24"/>
        </w:rPr>
      </w:pPr>
      <w:r w:rsidRPr="00DF21BD"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  <w:t xml:space="preserve">Informator przygotowany przez Lokalną Grupę Działania Powiatu Opatowskiego                      w ramach realizacji zadania publicznego powierzonego przez Zarząd Powiatu </w:t>
      </w:r>
      <w:r w:rsidR="00DF21BD">
        <w:rPr>
          <w:rFonts w:asciiTheme="majorHAnsi" w:hAnsiTheme="majorHAnsi" w:cstheme="minorHAnsi"/>
          <w:b/>
          <w:bCs/>
          <w:i/>
          <w:iCs/>
          <w:color w:val="A20000"/>
          <w:sz w:val="24"/>
          <w:szCs w:val="24"/>
        </w:rPr>
        <w:t>Opatowskiego</w:t>
      </w:r>
      <w:r w:rsidRPr="00C17E34">
        <w:rPr>
          <w:rFonts w:asciiTheme="majorHAnsi" w:hAnsiTheme="majorHAnsi" w:cstheme="minorHAnsi"/>
          <w:b/>
          <w:bCs/>
          <w:i/>
          <w:iCs/>
          <w:sz w:val="24"/>
          <w:szCs w:val="24"/>
        </w:rPr>
        <w:t>.</w:t>
      </w:r>
    </w:p>
    <w:p w14:paraId="732DC388" w14:textId="77777777" w:rsidR="00865A2E" w:rsidRDefault="00865A2E" w:rsidP="00036546">
      <w:pPr>
        <w:spacing w:after="120"/>
        <w:jc w:val="both"/>
        <w:rPr>
          <w:rFonts w:asciiTheme="majorHAnsi" w:hAnsiTheme="majorHAnsi" w:cstheme="minorHAnsi"/>
          <w:i/>
          <w:iCs/>
          <w:sz w:val="24"/>
          <w:szCs w:val="24"/>
        </w:rPr>
      </w:pPr>
    </w:p>
    <w:p w14:paraId="299CE06F" w14:textId="1A9BB73F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lastRenderedPageBreak/>
        <w:t xml:space="preserve">Przepisy regulujące kwestie prawne związane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z dziedziczeniem ustawowym zawarte zostały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w Tytule II Księgi IV Kodeksu cywilnego – dziedziczenie ustawowe tj. w art. 931 – 940 </w:t>
      </w:r>
      <w:proofErr w:type="spellStart"/>
      <w:r w:rsidRPr="00001750">
        <w:rPr>
          <w:rFonts w:asciiTheme="majorHAnsi" w:hAnsiTheme="majorHAnsi" w:cstheme="minorHAnsi"/>
          <w:sz w:val="24"/>
          <w:szCs w:val="24"/>
        </w:rPr>
        <w:t>kc</w:t>
      </w:r>
      <w:proofErr w:type="spellEnd"/>
      <w:r w:rsidRPr="00001750">
        <w:rPr>
          <w:rFonts w:asciiTheme="majorHAnsi" w:hAnsiTheme="majorHAnsi" w:cstheme="minorHAnsi"/>
          <w:sz w:val="24"/>
          <w:szCs w:val="24"/>
        </w:rPr>
        <w:t xml:space="preserve">. </w:t>
      </w:r>
    </w:p>
    <w:p w14:paraId="282A4227" w14:textId="77777777" w:rsidR="00481EB2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2BEBB677" w14:textId="1022F554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Z dziedziczeniem ustawowym mamy do czynienia wówczas gdy spadkodawca nie zdecydował się na rozporządzenie swoim majątkiem na wypadek śmierci.</w:t>
      </w:r>
    </w:p>
    <w:p w14:paraId="0CC3B0E6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4A662DD6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bCs/>
          <w:sz w:val="24"/>
          <w:szCs w:val="24"/>
        </w:rPr>
      </w:pPr>
      <w:r w:rsidRPr="00001750">
        <w:rPr>
          <w:rFonts w:asciiTheme="majorHAnsi" w:hAnsiTheme="majorHAnsi" w:cstheme="minorHAnsi"/>
          <w:b/>
          <w:bCs/>
          <w:color w:val="A20000"/>
          <w:sz w:val="24"/>
          <w:szCs w:val="24"/>
        </w:rPr>
        <w:t>W polskim prawie spadkowym wyróżniamy pięć grup spadkobierców ustawowych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 xml:space="preserve">. </w:t>
      </w:r>
    </w:p>
    <w:p w14:paraId="4CF9531E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13F680B7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Do 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>pierwszej grupy spadkobierców</w:t>
      </w:r>
      <w:r w:rsidRPr="00001750">
        <w:rPr>
          <w:rFonts w:asciiTheme="majorHAnsi" w:hAnsiTheme="majorHAnsi" w:cstheme="minorHAnsi"/>
          <w:sz w:val="24"/>
          <w:szCs w:val="24"/>
        </w:rPr>
        <w:t xml:space="preserve"> ustawowych należą:</w:t>
      </w:r>
    </w:p>
    <w:p w14:paraId="72B4A5A6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zstępni (dzieci, wnuki i ich dzieci oraz wnuki),</w:t>
      </w:r>
    </w:p>
    <w:p w14:paraId="1743C1DA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małżonek.</w:t>
      </w:r>
    </w:p>
    <w:p w14:paraId="1EE3F619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1D707514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Dziedziczą oni w częściach równych, jednakże udział przypadający małżonkowi nie może być mniejszy niż ¼ całości spadku.</w:t>
      </w:r>
    </w:p>
    <w:p w14:paraId="72BA290E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49461F4C" w14:textId="0089E7AE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Jeżeli dziecko nie dożyło otwarcia spadku udział, który by mu przypadał przypada jego dzieciom w częściach równych. W przypadku braku dzieci udział przypada dalszym zstępnym.</w:t>
      </w:r>
    </w:p>
    <w:p w14:paraId="26867431" w14:textId="222430FA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Małżonek jest wyłączony od dziedziczenia jeżeli spadkodawca wystąpił przeciwko niemu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          </w:t>
      </w:r>
      <w:r w:rsidRPr="00001750">
        <w:rPr>
          <w:rFonts w:asciiTheme="majorHAnsi" w:hAnsiTheme="majorHAnsi" w:cstheme="minorHAnsi"/>
          <w:sz w:val="24"/>
          <w:szCs w:val="24"/>
        </w:rPr>
        <w:t>z pozwem o separację lub rozwód z jego winy</w:t>
      </w:r>
      <w:r>
        <w:rPr>
          <w:rFonts w:asciiTheme="majorHAnsi" w:hAnsiTheme="majorHAnsi" w:cstheme="minorHAnsi"/>
          <w:sz w:val="24"/>
          <w:szCs w:val="24"/>
        </w:rPr>
        <w:t xml:space="preserve">         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 a żądanie to było uzasadnione. Wyłączenie następuje na mocy orzeczenia sądu.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        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Z powództwem można wystąpić w terminie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6 miesięcy od dnia w którym spadkobierca dowiedział się o otwarciu spadku nie później niż </w:t>
      </w:r>
      <w:r>
        <w:rPr>
          <w:rFonts w:asciiTheme="majorHAnsi" w:hAnsiTheme="majorHAnsi" w:cstheme="minorHAnsi"/>
          <w:sz w:val="24"/>
          <w:szCs w:val="24"/>
        </w:rPr>
        <w:t xml:space="preserve">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w terminie 1 roku od dnia otwarcia spadku. </w:t>
      </w:r>
    </w:p>
    <w:p w14:paraId="45FF54EB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2D742535" w14:textId="77777777" w:rsidR="00481EB2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  <w:r>
        <w:rPr>
          <w:rFonts w:asciiTheme="majorHAnsi" w:hAnsiTheme="majorHAnsi" w:cstheme="minorHAnsi"/>
          <w:b/>
          <w:color w:val="A20000"/>
          <w:sz w:val="24"/>
          <w:szCs w:val="24"/>
        </w:rPr>
        <w:t>W</w:t>
      </w:r>
      <w:r w:rsidR="00001750" w:rsidRPr="00001750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skazać należy, że przepisów o powołaniu do dziedziczenia nie stosuje się względem </w:t>
      </w:r>
    </w:p>
    <w:p w14:paraId="0FA75466" w14:textId="77777777" w:rsidR="00481EB2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</w:p>
    <w:p w14:paraId="0F245186" w14:textId="5BC42AB5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  <w:r w:rsidRPr="00001750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małżonka spadkodawcy pozostającego   </w:t>
      </w:r>
      <w:r w:rsidR="00481EB2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                        </w:t>
      </w:r>
      <w:r w:rsidRPr="00001750">
        <w:rPr>
          <w:rFonts w:asciiTheme="majorHAnsi" w:hAnsiTheme="majorHAnsi" w:cstheme="minorHAnsi"/>
          <w:b/>
          <w:color w:val="A20000"/>
          <w:sz w:val="24"/>
          <w:szCs w:val="24"/>
        </w:rPr>
        <w:t>w separacji.</w:t>
      </w:r>
    </w:p>
    <w:p w14:paraId="6F31CDFF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</w:p>
    <w:p w14:paraId="7F582D5C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b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Do 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>drugiej grupy spadkobierców</w:t>
      </w:r>
      <w:r w:rsidRPr="00001750">
        <w:rPr>
          <w:rFonts w:asciiTheme="majorHAnsi" w:hAnsiTheme="majorHAnsi" w:cstheme="minorHAnsi"/>
          <w:sz w:val="24"/>
          <w:szCs w:val="24"/>
        </w:rPr>
        <w:t xml:space="preserve"> ustawowych należą:</w:t>
      </w:r>
    </w:p>
    <w:p w14:paraId="74D11EA6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małżonek,</w:t>
      </w:r>
    </w:p>
    <w:p w14:paraId="1591CCCE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rodzice i rodzeństwo.</w:t>
      </w:r>
    </w:p>
    <w:p w14:paraId="10B2880A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156AB01D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Do dziedziczenia w tej konfiguracji dochodzi wówczas gdy spadkodawca nie posiadał zstępnych (dzieci). </w:t>
      </w:r>
    </w:p>
    <w:p w14:paraId="38F301A2" w14:textId="1E9503A3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Udział przypadający każdemu</w:t>
      </w:r>
      <w:r w:rsidR="00481EB2">
        <w:rPr>
          <w:rFonts w:asciiTheme="majorHAnsi" w:hAnsiTheme="majorHAnsi" w:cstheme="minorHAnsi"/>
          <w:sz w:val="24"/>
          <w:szCs w:val="24"/>
        </w:rPr>
        <w:t xml:space="preserve"> </w:t>
      </w:r>
      <w:r w:rsidRPr="00001750">
        <w:rPr>
          <w:rFonts w:asciiTheme="majorHAnsi" w:hAnsiTheme="majorHAnsi" w:cstheme="minorHAnsi"/>
          <w:sz w:val="24"/>
          <w:szCs w:val="24"/>
        </w:rPr>
        <w:t xml:space="preserve">z rodziców dziedziczących w zbiegu z małżonkiem spadkodawcy wynosi po ¼ całości spadku. </w:t>
      </w:r>
    </w:p>
    <w:p w14:paraId="5D926710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Jeżeli jedno z rodziców nie dożyło otwarcia spadku udział, który by mu przypadał, przypada rodzeństwu spadkodawcy w częściach równych. </w:t>
      </w:r>
    </w:p>
    <w:p w14:paraId="5488A807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Jeżeli żadne z rodziców nie dożyło otwarcia spadku udział, który by im przypadał, przypada rodzeństwu spadkodawcy w częściach równych. </w:t>
      </w:r>
    </w:p>
    <w:p w14:paraId="19A2FEDE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Jeżeli natomiast któreś z rodzeństwa nie dożyło otwarcia spadku udział spadkowy, który by mu przypadał, przypada jego zstępnym w częściach równych.</w:t>
      </w:r>
    </w:p>
    <w:p w14:paraId="4A6111C4" w14:textId="0682F93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Jeżeli jedno z rodziców nie dożyło otwarcia spadku oraz brak jest rodzeństwa spadkodawcy lub jego zstępnych udział rodzica dziedziczącego w zbiegu</w:t>
      </w:r>
      <w:r w:rsidR="00481EB2">
        <w:rPr>
          <w:rFonts w:asciiTheme="majorHAnsi" w:hAnsiTheme="majorHAnsi" w:cstheme="minorHAnsi"/>
          <w:sz w:val="24"/>
          <w:szCs w:val="24"/>
        </w:rPr>
        <w:t xml:space="preserve"> </w:t>
      </w:r>
      <w:r w:rsidRPr="00001750">
        <w:rPr>
          <w:rFonts w:asciiTheme="majorHAnsi" w:hAnsiTheme="majorHAnsi" w:cstheme="minorHAnsi"/>
          <w:sz w:val="24"/>
          <w:szCs w:val="24"/>
        </w:rPr>
        <w:t xml:space="preserve">z małżonkiem wynosi ½ całości spadku. </w:t>
      </w:r>
    </w:p>
    <w:p w14:paraId="6A8F2893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08F36020" w14:textId="43F93320" w:rsidR="00001750" w:rsidRDefault="00001750" w:rsidP="00001750">
      <w:pPr>
        <w:spacing w:after="12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  <w:r w:rsidRPr="00481EB2">
        <w:rPr>
          <w:rFonts w:asciiTheme="majorHAnsi" w:hAnsiTheme="majorHAnsi" w:cstheme="minorHAnsi"/>
          <w:b/>
          <w:color w:val="A20000"/>
          <w:sz w:val="24"/>
          <w:szCs w:val="24"/>
        </w:rPr>
        <w:t>Udział małżonka niezależnie od tego czy dziedziczy wspólnie</w:t>
      </w:r>
      <w:r w:rsidR="00481EB2" w:rsidRPr="00481EB2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/>
          <w:color w:val="A20000"/>
          <w:sz w:val="24"/>
          <w:szCs w:val="24"/>
        </w:rPr>
        <w:t>z rodzicami spadkodawcy, jego rodzeństwem czy zstępnymi rodzeństwa zawsze wynosi</w:t>
      </w:r>
      <w:r w:rsidR="00481EB2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 </w:t>
      </w:r>
      <w:r w:rsidRPr="00481EB2">
        <w:rPr>
          <w:rFonts w:asciiTheme="majorHAnsi" w:hAnsiTheme="majorHAnsi" w:cstheme="minorHAnsi"/>
          <w:b/>
          <w:color w:val="A20000"/>
          <w:sz w:val="24"/>
          <w:szCs w:val="24"/>
        </w:rPr>
        <w:t xml:space="preserve">½ całości spadku. </w:t>
      </w:r>
    </w:p>
    <w:p w14:paraId="5C959865" w14:textId="77777777" w:rsidR="00DF21BD" w:rsidRPr="00481EB2" w:rsidRDefault="00DF21BD" w:rsidP="00001750">
      <w:pPr>
        <w:spacing w:after="120"/>
        <w:jc w:val="both"/>
        <w:rPr>
          <w:rFonts w:asciiTheme="majorHAnsi" w:hAnsiTheme="majorHAnsi" w:cstheme="minorHAnsi"/>
          <w:b/>
          <w:color w:val="A20000"/>
          <w:sz w:val="24"/>
          <w:szCs w:val="24"/>
        </w:rPr>
      </w:pPr>
    </w:p>
    <w:p w14:paraId="7BBB6FE2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Jeżeli brak jest zstępnych (dzieci) spadkodawcy, jego rodziców, rodzeństwa lub zstępnych rodzeństwa małżonek dziedziczy cały spadek. </w:t>
      </w:r>
    </w:p>
    <w:p w14:paraId="60C01D26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452B11F2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Do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 xml:space="preserve"> trzeciej</w:t>
      </w:r>
      <w:r w:rsidRPr="00001750">
        <w:rPr>
          <w:rFonts w:asciiTheme="majorHAnsi" w:hAnsiTheme="majorHAnsi" w:cstheme="minorHAnsi"/>
          <w:sz w:val="24"/>
          <w:szCs w:val="24"/>
        </w:rPr>
        <w:t xml:space="preserve"> 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>grupy spadkobierców</w:t>
      </w:r>
      <w:r w:rsidRPr="00001750">
        <w:rPr>
          <w:rFonts w:asciiTheme="majorHAnsi" w:hAnsiTheme="majorHAnsi" w:cstheme="minorHAnsi"/>
          <w:sz w:val="24"/>
          <w:szCs w:val="24"/>
        </w:rPr>
        <w:t xml:space="preserve"> ustawowych należą:</w:t>
      </w:r>
    </w:p>
    <w:p w14:paraId="5B159327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205C5445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dziadkowie i zstępni dziadków spadkodawcy.</w:t>
      </w:r>
    </w:p>
    <w:p w14:paraId="5A0541FF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1119AF5D" w14:textId="5473FEFB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Do dziedziczenia w tej grupie dochodzi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              </w:t>
      </w:r>
      <w:r w:rsidRPr="00001750">
        <w:rPr>
          <w:rFonts w:asciiTheme="majorHAnsi" w:hAnsiTheme="majorHAnsi" w:cstheme="minorHAnsi"/>
          <w:sz w:val="24"/>
          <w:szCs w:val="24"/>
        </w:rPr>
        <w:t>w sytuacji braku: zstępnych (dzieci), małżonka, rodziców, rodzeństwa i zstępnych rodzeństwa.</w:t>
      </w:r>
    </w:p>
    <w:p w14:paraId="21694387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Dziadkowie dziedziczą w częściach równych. </w:t>
      </w:r>
    </w:p>
    <w:p w14:paraId="5E50431F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Podział udziału dziadka, który nie dożył otwarcia spadku następuje według zasad wskazanych powyżej. </w:t>
      </w:r>
    </w:p>
    <w:p w14:paraId="482BD520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Jeżeli żaden z dziadków nie dożył otwarcia spadku udział który by mu przypadł, przypada jego zstępnym.  </w:t>
      </w:r>
    </w:p>
    <w:p w14:paraId="032378B7" w14:textId="7E40DD6F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W razie braku zstępnych dziadka który nie dożył otwarcia spadku jego udział przysługuje </w:t>
      </w:r>
      <w:r w:rsidR="00481EB2">
        <w:rPr>
          <w:rFonts w:asciiTheme="majorHAnsi" w:hAnsiTheme="majorHAnsi" w:cstheme="minorHAnsi"/>
          <w:sz w:val="24"/>
          <w:szCs w:val="24"/>
        </w:rPr>
        <w:t xml:space="preserve">                          </w:t>
      </w:r>
      <w:r w:rsidRPr="00001750">
        <w:rPr>
          <w:rFonts w:asciiTheme="majorHAnsi" w:hAnsiTheme="majorHAnsi" w:cstheme="minorHAnsi"/>
          <w:sz w:val="24"/>
          <w:szCs w:val="24"/>
        </w:rPr>
        <w:t xml:space="preserve">w częściach równych pozostałym dziadkom. </w:t>
      </w:r>
    </w:p>
    <w:p w14:paraId="02DAA77A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1957A022" w14:textId="77777777" w:rsid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 xml:space="preserve">Do 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>czwartej</w:t>
      </w:r>
      <w:r w:rsidRPr="00001750">
        <w:rPr>
          <w:rFonts w:asciiTheme="majorHAnsi" w:hAnsiTheme="majorHAnsi" w:cstheme="minorHAnsi"/>
          <w:sz w:val="24"/>
          <w:szCs w:val="24"/>
        </w:rPr>
        <w:t xml:space="preserve"> </w:t>
      </w:r>
      <w:r w:rsidRPr="00001750">
        <w:rPr>
          <w:rFonts w:asciiTheme="majorHAnsi" w:hAnsiTheme="majorHAnsi" w:cstheme="minorHAnsi"/>
          <w:b/>
          <w:bCs/>
          <w:sz w:val="24"/>
          <w:szCs w:val="24"/>
        </w:rPr>
        <w:t>grupy spadkobierców</w:t>
      </w:r>
      <w:r w:rsidRPr="00001750">
        <w:rPr>
          <w:rFonts w:asciiTheme="majorHAnsi" w:hAnsiTheme="majorHAnsi" w:cstheme="minorHAnsi"/>
          <w:sz w:val="24"/>
          <w:szCs w:val="24"/>
        </w:rPr>
        <w:t xml:space="preserve"> ustawowych należą:</w:t>
      </w:r>
    </w:p>
    <w:p w14:paraId="7BE36A1D" w14:textId="77777777" w:rsidR="00481EB2" w:rsidRPr="00001750" w:rsidRDefault="00481EB2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</w:p>
    <w:p w14:paraId="51A6F44A" w14:textId="77777777" w:rsidR="00001750" w:rsidRPr="00001750" w:rsidRDefault="00001750" w:rsidP="00001750">
      <w:pPr>
        <w:pStyle w:val="Akapitzlist"/>
        <w:spacing w:after="120"/>
        <w:ind w:left="0"/>
        <w:jc w:val="both"/>
        <w:rPr>
          <w:rFonts w:asciiTheme="majorHAnsi" w:hAnsiTheme="majorHAnsi" w:cstheme="minorHAnsi"/>
          <w:sz w:val="24"/>
          <w:szCs w:val="24"/>
        </w:rPr>
      </w:pPr>
      <w:r w:rsidRPr="00001750">
        <w:rPr>
          <w:rFonts w:asciiTheme="majorHAnsi" w:hAnsiTheme="majorHAnsi" w:cstheme="minorHAnsi"/>
          <w:sz w:val="24"/>
          <w:szCs w:val="24"/>
        </w:rPr>
        <w:t>- dzieci małżonka zmarłego (pasierbowie).</w:t>
      </w:r>
    </w:p>
    <w:sectPr w:rsidR="00001750" w:rsidRPr="00001750" w:rsidSect="0094023A">
      <w:footerReference w:type="default" r:id="rId9"/>
      <w:pgSz w:w="16838" w:h="11906" w:orient="landscape" w:code="9"/>
      <w:pgMar w:top="284" w:right="284" w:bottom="284" w:left="284" w:header="397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F35CD" w14:textId="77777777" w:rsidR="008751D6" w:rsidRDefault="008751D6" w:rsidP="00FE6CF3">
      <w:r>
        <w:separator/>
      </w:r>
    </w:p>
  </w:endnote>
  <w:endnote w:type="continuationSeparator" w:id="0">
    <w:p w14:paraId="24ACD93A" w14:textId="77777777" w:rsidR="008751D6" w:rsidRDefault="008751D6" w:rsidP="00FE6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8516" w14:textId="77777777" w:rsidR="00661FF3" w:rsidRPr="009C58D9" w:rsidRDefault="00661FF3" w:rsidP="00661FF3">
    <w:pPr>
      <w:pStyle w:val="Stopka"/>
      <w:jc w:val="center"/>
      <w:rPr>
        <w:rFonts w:asciiTheme="majorHAnsi" w:hAnsiTheme="majorHAnsi"/>
        <w:b/>
        <w:bCs/>
        <w:color w:val="365F91" w:themeColor="accent1" w:themeShade="BF"/>
        <w:sz w:val="20"/>
        <w:szCs w:val="20"/>
      </w:rPr>
    </w:pPr>
    <w:r w:rsidRPr="00661FF3">
      <w:rPr>
        <w:rFonts w:asciiTheme="majorHAnsi" w:hAnsiTheme="majorHAnsi"/>
        <w:b/>
        <w:bCs/>
        <w:color w:val="365F91" w:themeColor="accent1" w:themeShade="BF"/>
        <w:sz w:val="20"/>
        <w:szCs w:val="20"/>
      </w:rPr>
      <w:t>www. DarmowaPomocPrawna.ms.gov.pl</w:t>
    </w:r>
    <w:r w:rsidRPr="009C58D9">
      <w:rPr>
        <w:rFonts w:asciiTheme="majorHAnsi" w:hAnsiTheme="majorHAnsi"/>
        <w:b/>
        <w:bCs/>
        <w:color w:val="365F91" w:themeColor="accent1" w:themeShade="BF"/>
        <w:sz w:val="20"/>
        <w:szCs w:val="20"/>
      </w:rPr>
      <w:t xml:space="preserve">                                               www. DarmowaPomocPrawna.ms.gov.pl                                          www. DarmowaPomocPrawna.ms.gov.pl</w:t>
    </w:r>
  </w:p>
  <w:p w14:paraId="2B0A6025" w14:textId="6E557268" w:rsidR="00661FF3" w:rsidRPr="00661FF3" w:rsidRDefault="00661FF3" w:rsidP="00661FF3">
    <w:pPr>
      <w:pStyle w:val="Stopka"/>
      <w:jc w:val="center"/>
      <w:rPr>
        <w:rFonts w:asciiTheme="majorHAnsi" w:hAnsiTheme="majorHAnsi"/>
        <w:b/>
        <w:bCs/>
        <w:sz w:val="20"/>
        <w:szCs w:val="20"/>
      </w:rPr>
    </w:pPr>
  </w:p>
  <w:p w14:paraId="3D38F114" w14:textId="48173A91" w:rsidR="00661FF3" w:rsidRPr="00661FF3" w:rsidRDefault="00661FF3" w:rsidP="00661FF3">
    <w:pPr>
      <w:pStyle w:val="Stopka"/>
      <w:rPr>
        <w:rFonts w:asciiTheme="majorHAnsi" w:hAnsiTheme="majorHAnsi"/>
        <w:b/>
        <w:bCs/>
        <w:sz w:val="20"/>
        <w:szCs w:val="20"/>
      </w:rPr>
    </w:pPr>
  </w:p>
  <w:p w14:paraId="0EA75E72" w14:textId="77777777" w:rsidR="00661FF3" w:rsidRDefault="00661F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7C08" w14:textId="77777777" w:rsidR="008751D6" w:rsidRDefault="008751D6" w:rsidP="00FE6CF3">
      <w:r>
        <w:separator/>
      </w:r>
    </w:p>
  </w:footnote>
  <w:footnote w:type="continuationSeparator" w:id="0">
    <w:p w14:paraId="3F9D0F23" w14:textId="77777777" w:rsidR="008751D6" w:rsidRDefault="008751D6" w:rsidP="00FE6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A"/>
      </v:shape>
    </w:pict>
  </w:numPicBullet>
  <w:abstractNum w:abstractNumId="0" w15:restartNumberingAfterBreak="0">
    <w:nsid w:val="00B43356"/>
    <w:multiLevelType w:val="hybridMultilevel"/>
    <w:tmpl w:val="62D87AD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2BD3B43"/>
    <w:multiLevelType w:val="hybridMultilevel"/>
    <w:tmpl w:val="5A085B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74199"/>
    <w:multiLevelType w:val="hybridMultilevel"/>
    <w:tmpl w:val="83D283E0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52E4007"/>
    <w:multiLevelType w:val="multilevel"/>
    <w:tmpl w:val="3296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64B11"/>
    <w:multiLevelType w:val="hybridMultilevel"/>
    <w:tmpl w:val="05D8676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5D06C9"/>
    <w:multiLevelType w:val="multilevel"/>
    <w:tmpl w:val="0B123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403C6"/>
    <w:multiLevelType w:val="hybridMultilevel"/>
    <w:tmpl w:val="734EE6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F5F57"/>
    <w:multiLevelType w:val="hybridMultilevel"/>
    <w:tmpl w:val="C72096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01B26"/>
    <w:multiLevelType w:val="hybridMultilevel"/>
    <w:tmpl w:val="688A0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C2DC5"/>
    <w:multiLevelType w:val="hybridMultilevel"/>
    <w:tmpl w:val="1D407882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FF1B6A"/>
    <w:multiLevelType w:val="hybridMultilevel"/>
    <w:tmpl w:val="6874C55E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E2747"/>
    <w:multiLevelType w:val="hybridMultilevel"/>
    <w:tmpl w:val="2A8818D6"/>
    <w:lvl w:ilvl="0" w:tplc="0415000D">
      <w:start w:val="1"/>
      <w:numFmt w:val="bullet"/>
      <w:lvlText w:val=""/>
      <w:lvlJc w:val="left"/>
      <w:pPr>
        <w:ind w:left="56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99" w:hanging="360"/>
      </w:pPr>
      <w:rPr>
        <w:rFonts w:ascii="Wingdings" w:hAnsi="Wingdings" w:hint="default"/>
      </w:rPr>
    </w:lvl>
  </w:abstractNum>
  <w:abstractNum w:abstractNumId="12" w15:restartNumberingAfterBreak="0">
    <w:nsid w:val="436122B4"/>
    <w:multiLevelType w:val="multilevel"/>
    <w:tmpl w:val="8820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755001"/>
    <w:multiLevelType w:val="hybridMultilevel"/>
    <w:tmpl w:val="785E487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F33E5"/>
    <w:multiLevelType w:val="hybridMultilevel"/>
    <w:tmpl w:val="0D54CFBA"/>
    <w:lvl w:ilvl="0" w:tplc="0415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55241D07"/>
    <w:multiLevelType w:val="hybridMultilevel"/>
    <w:tmpl w:val="821E55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636A2"/>
    <w:multiLevelType w:val="hybridMultilevel"/>
    <w:tmpl w:val="656A11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11D05"/>
    <w:multiLevelType w:val="hybridMultilevel"/>
    <w:tmpl w:val="1D2697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075C7"/>
    <w:multiLevelType w:val="hybridMultilevel"/>
    <w:tmpl w:val="36DCEA3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872ED4"/>
    <w:multiLevelType w:val="hybridMultilevel"/>
    <w:tmpl w:val="5CEE965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DE3FE4"/>
    <w:multiLevelType w:val="hybridMultilevel"/>
    <w:tmpl w:val="B83AFEC6"/>
    <w:lvl w:ilvl="0" w:tplc="0415000D">
      <w:start w:val="1"/>
      <w:numFmt w:val="bullet"/>
      <w:lvlText w:val=""/>
      <w:lvlJc w:val="left"/>
      <w:pPr>
        <w:ind w:left="18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 w15:restartNumberingAfterBreak="0">
    <w:nsid w:val="721F5B93"/>
    <w:multiLevelType w:val="hybridMultilevel"/>
    <w:tmpl w:val="C31EEF7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23FF5"/>
    <w:multiLevelType w:val="hybridMultilevel"/>
    <w:tmpl w:val="172429E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7734">
    <w:abstractNumId w:val="12"/>
  </w:num>
  <w:num w:numId="2" w16cid:durableId="442577784">
    <w:abstractNumId w:val="3"/>
  </w:num>
  <w:num w:numId="3" w16cid:durableId="572082715">
    <w:abstractNumId w:val="5"/>
  </w:num>
  <w:num w:numId="4" w16cid:durableId="375357235">
    <w:abstractNumId w:val="8"/>
  </w:num>
  <w:num w:numId="5" w16cid:durableId="2094207237">
    <w:abstractNumId w:val="21"/>
  </w:num>
  <w:num w:numId="6" w16cid:durableId="196503171">
    <w:abstractNumId w:val="10"/>
  </w:num>
  <w:num w:numId="7" w16cid:durableId="1004940333">
    <w:abstractNumId w:val="2"/>
  </w:num>
  <w:num w:numId="8" w16cid:durableId="776559533">
    <w:abstractNumId w:val="9"/>
  </w:num>
  <w:num w:numId="9" w16cid:durableId="140077614">
    <w:abstractNumId w:val="14"/>
  </w:num>
  <w:num w:numId="10" w16cid:durableId="826628152">
    <w:abstractNumId w:val="16"/>
  </w:num>
  <w:num w:numId="11" w16cid:durableId="1056778899">
    <w:abstractNumId w:val="7"/>
  </w:num>
  <w:num w:numId="12" w16cid:durableId="757560396">
    <w:abstractNumId w:val="6"/>
  </w:num>
  <w:num w:numId="13" w16cid:durableId="305866233">
    <w:abstractNumId w:val="22"/>
  </w:num>
  <w:num w:numId="14" w16cid:durableId="716583135">
    <w:abstractNumId w:val="13"/>
  </w:num>
  <w:num w:numId="15" w16cid:durableId="576206888">
    <w:abstractNumId w:val="0"/>
  </w:num>
  <w:num w:numId="16" w16cid:durableId="443303007">
    <w:abstractNumId w:val="15"/>
  </w:num>
  <w:num w:numId="17" w16cid:durableId="1699350662">
    <w:abstractNumId w:val="11"/>
  </w:num>
  <w:num w:numId="18" w16cid:durableId="258294689">
    <w:abstractNumId w:val="17"/>
  </w:num>
  <w:num w:numId="19" w16cid:durableId="1538155900">
    <w:abstractNumId w:val="19"/>
  </w:num>
  <w:num w:numId="20" w16cid:durableId="1324624883">
    <w:abstractNumId w:val="18"/>
  </w:num>
  <w:num w:numId="21" w16cid:durableId="1792817231">
    <w:abstractNumId w:val="4"/>
  </w:num>
  <w:num w:numId="22" w16cid:durableId="643891460">
    <w:abstractNumId w:val="20"/>
  </w:num>
  <w:num w:numId="23" w16cid:durableId="906763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CF3"/>
    <w:rsid w:val="00001750"/>
    <w:rsid w:val="00011EC5"/>
    <w:rsid w:val="000263A5"/>
    <w:rsid w:val="00036546"/>
    <w:rsid w:val="00046254"/>
    <w:rsid w:val="00055A31"/>
    <w:rsid w:val="00061B34"/>
    <w:rsid w:val="000C10CD"/>
    <w:rsid w:val="00103B3A"/>
    <w:rsid w:val="001202BB"/>
    <w:rsid w:val="00137C61"/>
    <w:rsid w:val="001609E6"/>
    <w:rsid w:val="00161787"/>
    <w:rsid w:val="00186486"/>
    <w:rsid w:val="001908B0"/>
    <w:rsid w:val="001D5A3F"/>
    <w:rsid w:val="00226265"/>
    <w:rsid w:val="00235EA1"/>
    <w:rsid w:val="00237BE2"/>
    <w:rsid w:val="00242E4C"/>
    <w:rsid w:val="002E0743"/>
    <w:rsid w:val="0032179C"/>
    <w:rsid w:val="00335640"/>
    <w:rsid w:val="00346FB4"/>
    <w:rsid w:val="00353AF8"/>
    <w:rsid w:val="00360406"/>
    <w:rsid w:val="00377894"/>
    <w:rsid w:val="003837FA"/>
    <w:rsid w:val="003976C3"/>
    <w:rsid w:val="003B4684"/>
    <w:rsid w:val="003B743D"/>
    <w:rsid w:val="003C0E27"/>
    <w:rsid w:val="004179DE"/>
    <w:rsid w:val="00476F84"/>
    <w:rsid w:val="00477411"/>
    <w:rsid w:val="00481EB2"/>
    <w:rsid w:val="004A6568"/>
    <w:rsid w:val="004D0BE3"/>
    <w:rsid w:val="004D57E9"/>
    <w:rsid w:val="004F1620"/>
    <w:rsid w:val="005051AA"/>
    <w:rsid w:val="005462E8"/>
    <w:rsid w:val="00550C1A"/>
    <w:rsid w:val="005511F0"/>
    <w:rsid w:val="005859E9"/>
    <w:rsid w:val="005C2916"/>
    <w:rsid w:val="005C7104"/>
    <w:rsid w:val="005D0373"/>
    <w:rsid w:val="005F2A36"/>
    <w:rsid w:val="00645D09"/>
    <w:rsid w:val="00650104"/>
    <w:rsid w:val="00655DDB"/>
    <w:rsid w:val="00661FF3"/>
    <w:rsid w:val="00670EA1"/>
    <w:rsid w:val="0067141C"/>
    <w:rsid w:val="00675B1A"/>
    <w:rsid w:val="006C619F"/>
    <w:rsid w:val="007107B5"/>
    <w:rsid w:val="00743E52"/>
    <w:rsid w:val="007830B8"/>
    <w:rsid w:val="007834CC"/>
    <w:rsid w:val="007979B8"/>
    <w:rsid w:val="007B7CC4"/>
    <w:rsid w:val="00832760"/>
    <w:rsid w:val="00853776"/>
    <w:rsid w:val="00860FC1"/>
    <w:rsid w:val="00865A2E"/>
    <w:rsid w:val="008751D6"/>
    <w:rsid w:val="008A3822"/>
    <w:rsid w:val="008B2B87"/>
    <w:rsid w:val="008E4D41"/>
    <w:rsid w:val="008E5BAA"/>
    <w:rsid w:val="009250C1"/>
    <w:rsid w:val="0094023A"/>
    <w:rsid w:val="00955AE2"/>
    <w:rsid w:val="00970675"/>
    <w:rsid w:val="009817D1"/>
    <w:rsid w:val="009C3C9A"/>
    <w:rsid w:val="009C58D9"/>
    <w:rsid w:val="00A14FC5"/>
    <w:rsid w:val="00A7272A"/>
    <w:rsid w:val="00A74109"/>
    <w:rsid w:val="00A921FE"/>
    <w:rsid w:val="00AE390E"/>
    <w:rsid w:val="00B31B74"/>
    <w:rsid w:val="00B45AFB"/>
    <w:rsid w:val="00B52FFC"/>
    <w:rsid w:val="00B978B7"/>
    <w:rsid w:val="00BB3C70"/>
    <w:rsid w:val="00BE0941"/>
    <w:rsid w:val="00C17E34"/>
    <w:rsid w:val="00C637C9"/>
    <w:rsid w:val="00C9420A"/>
    <w:rsid w:val="00CA63B3"/>
    <w:rsid w:val="00CD1AE5"/>
    <w:rsid w:val="00CD2030"/>
    <w:rsid w:val="00D12DB6"/>
    <w:rsid w:val="00D17CC7"/>
    <w:rsid w:val="00D35917"/>
    <w:rsid w:val="00D609D5"/>
    <w:rsid w:val="00D65197"/>
    <w:rsid w:val="00D734DD"/>
    <w:rsid w:val="00DB42CB"/>
    <w:rsid w:val="00DC2816"/>
    <w:rsid w:val="00DC395A"/>
    <w:rsid w:val="00DC5A19"/>
    <w:rsid w:val="00DF21BD"/>
    <w:rsid w:val="00E05EB1"/>
    <w:rsid w:val="00E6258D"/>
    <w:rsid w:val="00E73402"/>
    <w:rsid w:val="00EA4C19"/>
    <w:rsid w:val="00EB2068"/>
    <w:rsid w:val="00EC735A"/>
    <w:rsid w:val="00F02AF6"/>
    <w:rsid w:val="00F05457"/>
    <w:rsid w:val="00F426E9"/>
    <w:rsid w:val="00F567FE"/>
    <w:rsid w:val="00FE0F29"/>
    <w:rsid w:val="00FE3BC3"/>
    <w:rsid w:val="00FE3BCC"/>
    <w:rsid w:val="00FE6CF3"/>
    <w:rsid w:val="00FF30BB"/>
    <w:rsid w:val="00FF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50AFB"/>
  <w15:docId w15:val="{EE0C71CF-5933-4474-B558-E4DB392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A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CF3"/>
  </w:style>
  <w:style w:type="paragraph" w:styleId="Stopka">
    <w:name w:val="footer"/>
    <w:basedOn w:val="Normalny"/>
    <w:link w:val="StopkaZnak"/>
    <w:uiPriority w:val="99"/>
    <w:unhideWhenUsed/>
    <w:rsid w:val="00FE6C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6CF3"/>
  </w:style>
  <w:style w:type="character" w:styleId="Hipercze">
    <w:name w:val="Hyperlink"/>
    <w:basedOn w:val="Domylnaczcionkaakapitu"/>
    <w:uiPriority w:val="99"/>
    <w:unhideWhenUsed/>
    <w:rsid w:val="005D0373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D037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E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E2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azne">
    <w:name w:val="wazne"/>
    <w:basedOn w:val="Normalny"/>
    <w:rsid w:val="003B46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4684"/>
    <w:pPr>
      <w:ind w:left="720"/>
      <w:contextualSpacing/>
    </w:pPr>
  </w:style>
  <w:style w:type="character" w:customStyle="1" w:styleId="alb">
    <w:name w:val="a_lb"/>
    <w:basedOn w:val="Domylnaczcionkaakapitu"/>
    <w:rsid w:val="00F426E9"/>
  </w:style>
  <w:style w:type="character" w:styleId="Uwydatnienie">
    <w:name w:val="Emphasis"/>
    <w:basedOn w:val="Domylnaczcionkaakapitu"/>
    <w:uiPriority w:val="20"/>
    <w:qFormat/>
    <w:rsid w:val="00F426E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9DE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3A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3A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3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4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8960E-A1A0-478B-8C94-D9554957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Katarzyna Turbiarz</cp:lastModifiedBy>
  <cp:revision>2</cp:revision>
  <cp:lastPrinted>2024-07-24T08:07:00Z</cp:lastPrinted>
  <dcterms:created xsi:type="dcterms:W3CDTF">2026-05-26T08:21:00Z</dcterms:created>
  <dcterms:modified xsi:type="dcterms:W3CDTF">2026-05-26T08:21:00Z</dcterms:modified>
</cp:coreProperties>
</file>